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37547" w14:textId="48778CD3" w:rsidR="008E35EA" w:rsidRPr="000B25F6" w:rsidRDefault="008E35EA" w:rsidP="00CB70E3">
      <w:pPr>
        <w:pStyle w:val="Heading2"/>
        <w:jc w:val="both"/>
        <w:rPr>
          <w:lang w:val="pt-BR"/>
        </w:rPr>
      </w:pPr>
      <w:bookmarkStart w:id="0" w:name="_Toc170496126"/>
      <w:bookmarkStart w:id="1" w:name="_Toc170722973"/>
      <w:r w:rsidRPr="000B25F6">
        <w:rPr>
          <w:lang w:val="pt-BR"/>
        </w:rPr>
        <w:t xml:space="preserve">MODELO DE </w:t>
      </w:r>
      <w:r w:rsidRPr="005C314D">
        <w:rPr>
          <w:lang w:val="pt-BR"/>
        </w:rPr>
        <w:t>RELATÓRIO</w:t>
      </w:r>
      <w:r w:rsidRPr="000B25F6">
        <w:rPr>
          <w:lang w:val="pt-BR"/>
        </w:rPr>
        <w:t xml:space="preserve"> DE AVALIAÇÃO EXTERNA</w:t>
      </w:r>
      <w:bookmarkEnd w:id="0"/>
      <w:bookmarkEnd w:id="1"/>
      <w:r w:rsidRPr="000B25F6">
        <w:rPr>
          <w:lang w:val="pt-BR"/>
        </w:rPr>
        <w:t xml:space="preserve"> </w:t>
      </w:r>
    </w:p>
    <w:p w14:paraId="7706F4E3" w14:textId="77777777" w:rsidR="008E35EA" w:rsidRPr="005C314D" w:rsidRDefault="008E35EA" w:rsidP="00CB70E3">
      <w:pPr>
        <w:spacing w:after="61" w:line="263" w:lineRule="auto"/>
        <w:ind w:left="-5"/>
        <w:jc w:val="both"/>
        <w:rPr>
          <w:b/>
          <w:bCs/>
          <w:lang w:val="pt-BR"/>
        </w:rPr>
      </w:pPr>
      <w:r w:rsidRPr="005C314D">
        <w:rPr>
          <w:b/>
          <w:bCs/>
          <w:lang w:val="pt-BR"/>
        </w:rPr>
        <w:t>Capítulo 1. Sumário executivo</w:t>
      </w:r>
    </w:p>
    <w:p w14:paraId="60EDAF56" w14:textId="77777777" w:rsidR="008E35EA" w:rsidRPr="000B25F6" w:rsidRDefault="008E35EA" w:rsidP="00CB70E3">
      <w:pPr>
        <w:spacing w:after="280"/>
        <w:ind w:left="-5" w:right="54"/>
        <w:jc w:val="both"/>
        <w:rPr>
          <w:lang w:val="pt-BR"/>
        </w:rPr>
      </w:pPr>
      <w:r w:rsidRPr="000B25F6">
        <w:rPr>
          <w:lang w:val="pt-BR"/>
        </w:rPr>
        <w:t>Um relatório conciso sobre o exercício de avaliação do QAA efectuado pela comissão de avaliação.</w:t>
      </w:r>
    </w:p>
    <w:p w14:paraId="196C4E49" w14:textId="77777777" w:rsidR="008E35EA" w:rsidRPr="005C314D" w:rsidRDefault="008E35EA" w:rsidP="00CB70E3">
      <w:pPr>
        <w:spacing w:after="61" w:line="263" w:lineRule="auto"/>
        <w:ind w:left="-5"/>
        <w:jc w:val="both"/>
        <w:rPr>
          <w:b/>
          <w:bCs/>
          <w:lang w:val="pt-BR"/>
        </w:rPr>
      </w:pPr>
      <w:r w:rsidRPr="005C314D">
        <w:rPr>
          <w:b/>
          <w:bCs/>
          <w:lang w:val="pt-BR"/>
        </w:rPr>
        <w:t>Capítulo 2. Introdução</w:t>
      </w:r>
    </w:p>
    <w:p w14:paraId="6B040A67" w14:textId="77777777" w:rsidR="008E35EA" w:rsidRPr="000B25F6" w:rsidRDefault="008E35EA" w:rsidP="00CB70E3">
      <w:pPr>
        <w:ind w:left="-5" w:right="54"/>
        <w:jc w:val="both"/>
        <w:rPr>
          <w:lang w:val="pt-BR"/>
        </w:rPr>
      </w:pPr>
      <w:r w:rsidRPr="000B25F6">
        <w:rPr>
          <w:lang w:val="pt-BR"/>
        </w:rPr>
        <w:t xml:space="preserve">Objectivos e finalidade do exercício de avaliação; informações sobre a composição do </w:t>
      </w:r>
      <w:r>
        <w:rPr>
          <w:lang w:val="pt-BR"/>
        </w:rPr>
        <w:t>commisão</w:t>
      </w:r>
      <w:r w:rsidRPr="000B25F6">
        <w:rPr>
          <w:lang w:val="pt-BR"/>
        </w:rPr>
        <w:t>; apresentação da agência objecto de avaliação e do período do exercício.</w:t>
      </w:r>
    </w:p>
    <w:p w14:paraId="151000FD" w14:textId="77777777" w:rsidR="008E35EA" w:rsidRPr="005C314D" w:rsidRDefault="008E35EA" w:rsidP="00CB70E3">
      <w:pPr>
        <w:spacing w:after="61" w:line="263" w:lineRule="auto"/>
        <w:ind w:left="-5"/>
        <w:jc w:val="both"/>
        <w:rPr>
          <w:b/>
          <w:bCs/>
          <w:lang w:val="pt-BR"/>
        </w:rPr>
      </w:pPr>
      <w:r w:rsidRPr="005C314D">
        <w:rPr>
          <w:b/>
          <w:bCs/>
          <w:lang w:val="pt-BR"/>
        </w:rPr>
        <w:t>Capítulo 3. Metodologia</w:t>
      </w:r>
    </w:p>
    <w:p w14:paraId="2202AF39" w14:textId="77777777" w:rsidR="008E35EA" w:rsidRPr="000B25F6" w:rsidRDefault="008E35EA" w:rsidP="00CB70E3">
      <w:pPr>
        <w:ind w:left="-5" w:right="54"/>
        <w:jc w:val="both"/>
        <w:rPr>
          <w:lang w:val="pt-BR"/>
        </w:rPr>
      </w:pPr>
      <w:r w:rsidRPr="000B25F6">
        <w:rPr>
          <w:lang w:val="pt-BR"/>
        </w:rPr>
        <w:t>Descrição do procedimento de realização da análise, incluindo um estudo documental do procedimento de avaliação e do RAA apresentado pela QAA. A metodologia também especificará as visitas ao local, que incluirão entrevistas com diferentes partes interessadas, análise de documentos e inspecção de instalações.</w:t>
      </w:r>
    </w:p>
    <w:p w14:paraId="5C08D1DB" w14:textId="77777777" w:rsidR="008E35EA" w:rsidRPr="005C314D" w:rsidRDefault="008E35EA" w:rsidP="00CB70E3">
      <w:pPr>
        <w:spacing w:after="5" w:line="263" w:lineRule="auto"/>
        <w:ind w:left="-5"/>
        <w:jc w:val="both"/>
        <w:rPr>
          <w:b/>
          <w:bCs/>
          <w:lang w:val="pt-BR"/>
        </w:rPr>
      </w:pPr>
      <w:r w:rsidRPr="005C314D">
        <w:rPr>
          <w:b/>
          <w:bCs/>
          <w:lang w:val="pt-BR"/>
        </w:rPr>
        <w:t>Capítulo 4. Conclusões, análises e juízos de valor</w:t>
      </w:r>
    </w:p>
    <w:p w14:paraId="5967A895" w14:textId="77777777" w:rsidR="008E35EA" w:rsidRPr="000B25F6" w:rsidRDefault="008E35EA" w:rsidP="00CB70E3">
      <w:pPr>
        <w:spacing w:after="632"/>
        <w:ind w:left="-5" w:right="54"/>
        <w:jc w:val="both"/>
        <w:rPr>
          <w:lang w:val="pt-BR"/>
        </w:rPr>
      </w:pPr>
      <w:r w:rsidRPr="000B25F6">
        <w:rPr>
          <w:lang w:val="pt-BR"/>
        </w:rPr>
        <w:t>Apresentação as observações e conclusões baseadas na análise crítica dos vários indicadores de desempenho d</w:t>
      </w:r>
      <w:r>
        <w:rPr>
          <w:lang w:val="pt-BR"/>
        </w:rPr>
        <w:t>os padrões</w:t>
      </w:r>
      <w:r w:rsidRPr="000B25F6">
        <w:rPr>
          <w:lang w:val="pt-BR"/>
        </w:rPr>
        <w:t xml:space="preserve"> durante o exercício de avaliação. A avaliação deve comparar a RAE e as suas conclusões durante as visitas ao local (quadros) e emitir juízos finais </w:t>
      </w:r>
      <w:r>
        <w:rPr>
          <w:lang w:val="pt-BR"/>
        </w:rPr>
        <w:t>padrão a padrão</w:t>
      </w:r>
      <w:r w:rsidRPr="000B25F6">
        <w:rPr>
          <w:lang w:val="pt-BR"/>
        </w:rPr>
        <w:t>.</w:t>
      </w:r>
    </w:p>
    <w:p w14:paraId="78BB36CA" w14:textId="77777777" w:rsidR="008E35EA" w:rsidRPr="005C314D" w:rsidRDefault="008E35EA" w:rsidP="00CB70E3">
      <w:pPr>
        <w:spacing w:after="169"/>
        <w:ind w:left="-5"/>
        <w:jc w:val="both"/>
        <w:rPr>
          <w:b/>
          <w:bCs/>
          <w:lang w:val="pt-BR"/>
        </w:rPr>
      </w:pPr>
      <w:r w:rsidRPr="005C314D">
        <w:rPr>
          <w:b/>
          <w:bCs/>
          <w:color w:val="000000"/>
          <w:lang w:val="pt-BR"/>
        </w:rPr>
        <w:t xml:space="preserve">Parte B: </w:t>
      </w:r>
    </w:p>
    <w:p w14:paraId="4131DB58" w14:textId="77777777" w:rsidR="008E35EA" w:rsidRPr="000B25F6" w:rsidRDefault="008E35EA" w:rsidP="00CB70E3">
      <w:pPr>
        <w:spacing w:after="53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1. Objectivos da Garantia de Qualidade Externa e Considerações sobre a Garantia da Qualidade Interna</w:t>
      </w:r>
    </w:p>
    <w:p w14:paraId="30B89177" w14:textId="77777777" w:rsidR="008E35EA" w:rsidRPr="000B25F6" w:rsidRDefault="008E35EA" w:rsidP="00CB70E3">
      <w:pPr>
        <w:spacing w:after="53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2. Concepção de mecanismos de garantia da qualidade externa adequados ao objectivo </w:t>
      </w:r>
    </w:p>
    <w:p w14:paraId="33B15B8C" w14:textId="77777777" w:rsidR="008E35EA" w:rsidRPr="000B25F6" w:rsidRDefault="008E35EA" w:rsidP="00CB70E3">
      <w:pPr>
        <w:spacing w:after="55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3. Processos de implementação da garantia externa da qualidade </w:t>
      </w:r>
    </w:p>
    <w:p w14:paraId="3611D11E" w14:textId="77777777" w:rsidR="008E35EA" w:rsidRPr="000B25F6" w:rsidRDefault="008E35EA" w:rsidP="00CB70E3">
      <w:pPr>
        <w:spacing w:after="55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4. Independência da avaliação </w:t>
      </w:r>
    </w:p>
    <w:p w14:paraId="64903BC5" w14:textId="77777777" w:rsidR="008E35EA" w:rsidRPr="000B25F6" w:rsidRDefault="008E35EA" w:rsidP="00CB70E3">
      <w:pPr>
        <w:spacing w:after="55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5. Decisão e comunicação dos resultados da garantia externa da qualidade </w:t>
      </w:r>
    </w:p>
    <w:p w14:paraId="0C51E689" w14:textId="77777777" w:rsidR="008E35EA" w:rsidRPr="000B25F6" w:rsidRDefault="008E35EA" w:rsidP="00CB70E3">
      <w:pPr>
        <w:spacing w:after="55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6. Avaliação periódica das instituições e do programa</w:t>
      </w:r>
    </w:p>
    <w:p w14:paraId="3D05D3D0" w14:textId="77777777" w:rsidR="008E35EA" w:rsidRPr="000B25F6" w:rsidRDefault="008E35EA" w:rsidP="00CB70E3">
      <w:pPr>
        <w:spacing w:after="492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7. Reclamações e recursos</w:t>
      </w:r>
    </w:p>
    <w:p w14:paraId="239B9553" w14:textId="77777777" w:rsidR="008E35EA" w:rsidRPr="005C314D" w:rsidRDefault="008E35EA" w:rsidP="00CB70E3">
      <w:pPr>
        <w:spacing w:after="169"/>
        <w:ind w:left="-5"/>
        <w:jc w:val="both"/>
        <w:rPr>
          <w:b/>
          <w:bCs/>
          <w:lang w:val="pt-BR"/>
        </w:rPr>
      </w:pPr>
      <w:r w:rsidRPr="005C314D">
        <w:rPr>
          <w:b/>
          <w:bCs/>
          <w:color w:val="000000"/>
          <w:lang w:val="pt-BR"/>
        </w:rPr>
        <w:t xml:space="preserve">Parte C: </w:t>
      </w:r>
    </w:p>
    <w:p w14:paraId="22BC64ED" w14:textId="77777777" w:rsidR="008E35EA" w:rsidRPr="000B25F6" w:rsidRDefault="008E35EA" w:rsidP="00CB70E3">
      <w:pPr>
        <w:spacing w:after="55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1. Estatuto jurídico </w:t>
      </w:r>
    </w:p>
    <w:p w14:paraId="30788E6C" w14:textId="77777777" w:rsidR="008E35EA" w:rsidRPr="000B25F6" w:rsidRDefault="008E35EA" w:rsidP="00CB70E3">
      <w:pPr>
        <w:spacing w:after="55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2. Declaração da visão e missão </w:t>
      </w:r>
    </w:p>
    <w:p w14:paraId="1BFC932A" w14:textId="77777777" w:rsidR="008E35EA" w:rsidRPr="000B25F6" w:rsidRDefault="008E35EA" w:rsidP="00CB70E3">
      <w:pPr>
        <w:spacing w:after="55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3. Administração e gestão </w:t>
      </w:r>
    </w:p>
    <w:p w14:paraId="43A66223" w14:textId="77777777" w:rsidR="008E35EA" w:rsidRPr="000B25F6" w:rsidRDefault="008E35EA" w:rsidP="00CB70E3">
      <w:pPr>
        <w:spacing w:after="55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4. Independência das QAA </w:t>
      </w:r>
    </w:p>
    <w:p w14:paraId="610FB52D" w14:textId="77777777" w:rsidR="008E35EA" w:rsidRPr="000B25F6" w:rsidRDefault="008E35EA" w:rsidP="00CB70E3">
      <w:pPr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5. Políticas, processos e actividades </w:t>
      </w:r>
    </w:p>
    <w:p w14:paraId="32A65EBC" w14:textId="77777777" w:rsidR="008E35EA" w:rsidRPr="000B25F6" w:rsidRDefault="008E35EA" w:rsidP="00CB70E3">
      <w:pPr>
        <w:spacing w:after="55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6. Políticas, critérios e processos internos de garantia da qualidade </w:t>
      </w:r>
    </w:p>
    <w:p w14:paraId="338D0E8A" w14:textId="77777777" w:rsidR="008E35EA" w:rsidRPr="000B25F6" w:rsidRDefault="008E35EA" w:rsidP="00CB70E3">
      <w:pPr>
        <w:spacing w:after="57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7. Recursos Financeiros e Humanos </w:t>
      </w:r>
    </w:p>
    <w:p w14:paraId="45739F78" w14:textId="77777777" w:rsidR="008E35EA" w:rsidRPr="000B25F6" w:rsidRDefault="008E35EA" w:rsidP="00CB70E3">
      <w:pPr>
        <w:spacing w:after="60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8. </w:t>
      </w:r>
      <w:r w:rsidRPr="000B25F6">
        <w:rPr>
          <w:rFonts w:ascii="Calibri" w:eastAsia="Calibri" w:hAnsi="Calibri" w:cs="Calibri"/>
          <w:lang w:val="pt-BR"/>
        </w:rPr>
        <w:t>“</w:t>
      </w:r>
      <w:r w:rsidRPr="000B25F6">
        <w:rPr>
          <w:rFonts w:ascii="Calibri" w:eastAsia="Calibri" w:hAnsi="Calibri" w:cs="Calibri"/>
          <w:i/>
          <w:lang w:val="pt-BR"/>
        </w:rPr>
        <w:t>Benchmarking”</w:t>
      </w:r>
      <w:r w:rsidRPr="000B25F6">
        <w:rPr>
          <w:lang w:val="pt-BR"/>
        </w:rPr>
        <w:t xml:space="preserve">, Trabalho em Rede e Colaboração </w:t>
      </w:r>
    </w:p>
    <w:p w14:paraId="7FB9A88A" w14:textId="77777777" w:rsidR="008E35EA" w:rsidRPr="000B25F6" w:rsidRDefault="008E35EA" w:rsidP="00CB70E3">
      <w:pPr>
        <w:spacing w:after="338"/>
        <w:ind w:left="-5" w:right="54"/>
        <w:jc w:val="both"/>
        <w:rPr>
          <w:lang w:val="pt-BR"/>
        </w:rPr>
      </w:pPr>
      <w:r>
        <w:rPr>
          <w:lang w:val="pt-BR"/>
        </w:rPr>
        <w:t>Padrão</w:t>
      </w:r>
      <w:r w:rsidRPr="000B25F6">
        <w:rPr>
          <w:lang w:val="pt-BR"/>
        </w:rPr>
        <w:t xml:space="preserve"> 9. Avaliação periódica das QAAs</w:t>
      </w:r>
    </w:p>
    <w:p w14:paraId="1083B032" w14:textId="77777777" w:rsidR="008E35EA" w:rsidRPr="005C314D" w:rsidRDefault="008E35EA" w:rsidP="00CB70E3">
      <w:pPr>
        <w:spacing w:after="5" w:line="263" w:lineRule="auto"/>
        <w:ind w:left="-5"/>
        <w:jc w:val="both"/>
        <w:rPr>
          <w:b/>
          <w:bCs/>
          <w:lang w:val="pt-BR"/>
        </w:rPr>
      </w:pPr>
      <w:r w:rsidRPr="005C314D">
        <w:rPr>
          <w:b/>
          <w:bCs/>
          <w:lang w:val="pt-BR"/>
        </w:rPr>
        <w:lastRenderedPageBreak/>
        <w:t>Capítulo 5. Recomendações e louvores</w:t>
      </w:r>
    </w:p>
    <w:p w14:paraId="270B1D98" w14:textId="77777777" w:rsidR="008E35EA" w:rsidRPr="000B25F6" w:rsidRDefault="008E35EA" w:rsidP="00CB70E3">
      <w:pPr>
        <w:ind w:left="-5" w:right="54"/>
        <w:jc w:val="both"/>
        <w:rPr>
          <w:lang w:val="pt-BR"/>
        </w:rPr>
      </w:pPr>
      <w:r w:rsidRPr="000B25F6">
        <w:rPr>
          <w:lang w:val="pt-BR"/>
        </w:rPr>
        <w:t>O júri é encorajado a fazer recomendações para o futuro desenvolvimento da agência. Elogios, sempre que necessário, são igualmente encorajados.</w:t>
      </w:r>
    </w:p>
    <w:p w14:paraId="707B293B" w14:textId="77777777" w:rsidR="008E35EA" w:rsidRPr="005C314D" w:rsidRDefault="008E35EA" w:rsidP="00CB70E3">
      <w:pPr>
        <w:spacing w:after="5" w:line="263" w:lineRule="auto"/>
        <w:ind w:left="-5"/>
        <w:jc w:val="both"/>
        <w:rPr>
          <w:b/>
          <w:bCs/>
          <w:lang w:val="pt-BR"/>
        </w:rPr>
      </w:pPr>
      <w:r w:rsidRPr="005C314D">
        <w:rPr>
          <w:b/>
          <w:bCs/>
          <w:lang w:val="pt-BR"/>
        </w:rPr>
        <w:t>Capítulo 6. Aprovação dos relatórios</w:t>
      </w:r>
    </w:p>
    <w:p w14:paraId="3FE9B48B" w14:textId="77777777" w:rsidR="008E35EA" w:rsidRPr="000B25F6" w:rsidRDefault="008E35EA" w:rsidP="00CB70E3">
      <w:pPr>
        <w:ind w:left="-5" w:right="54"/>
        <w:jc w:val="both"/>
        <w:rPr>
          <w:lang w:val="pt-BR"/>
        </w:rPr>
      </w:pPr>
      <w:r w:rsidRPr="000B25F6">
        <w:rPr>
          <w:lang w:val="pt-BR"/>
        </w:rPr>
        <w:t xml:space="preserve">Será solicitada à agência a correção de eventuais erros factuais antes da finalização do relatório. O relatório de avaliação externa é assinado pelo presidente do júri. </w:t>
      </w:r>
    </w:p>
    <w:p w14:paraId="03C018EF" w14:textId="77777777" w:rsidR="008E35EA" w:rsidRPr="005C314D" w:rsidRDefault="008E35EA" w:rsidP="00CB70E3">
      <w:pPr>
        <w:spacing w:after="5" w:line="263" w:lineRule="auto"/>
        <w:ind w:left="-5"/>
        <w:jc w:val="both"/>
        <w:rPr>
          <w:b/>
          <w:bCs/>
          <w:lang w:val="pt-BR"/>
        </w:rPr>
      </w:pPr>
      <w:r w:rsidRPr="005C314D">
        <w:rPr>
          <w:b/>
          <w:bCs/>
          <w:lang w:val="pt-BR"/>
        </w:rPr>
        <w:t xml:space="preserve">Capítulo 7. Conclusões </w:t>
      </w:r>
    </w:p>
    <w:p w14:paraId="7B893388" w14:textId="5D4271DD" w:rsidR="008E35EA" w:rsidRPr="000B25F6" w:rsidRDefault="008E35EA" w:rsidP="00CB70E3">
      <w:pPr>
        <w:ind w:left="-5" w:right="54"/>
        <w:jc w:val="both"/>
        <w:rPr>
          <w:lang w:val="pt-BR"/>
        </w:rPr>
      </w:pPr>
      <w:r w:rsidRPr="008E35EA">
        <w:rPr>
          <w:highlight w:val="lightGray"/>
          <w:lang w:val="pt-BR"/>
        </w:rPr>
        <w:t>[Para as avaliações completas das agências HAQAA3, este capítulo incluirá uma apreciação da avaliação da conformidade da agência com os ASG-QA].</w:t>
      </w:r>
    </w:p>
    <w:p w14:paraId="598AD6C6" w14:textId="77777777" w:rsidR="008E35EA" w:rsidRPr="006A3AFB" w:rsidRDefault="008E35EA" w:rsidP="00CB70E3">
      <w:pPr>
        <w:spacing w:after="0"/>
        <w:ind w:right="20"/>
        <w:jc w:val="both"/>
        <w:rPr>
          <w:lang w:val="pt-BR"/>
        </w:rPr>
      </w:pPr>
    </w:p>
    <w:p w14:paraId="5D67560B" w14:textId="73169744" w:rsidR="00680D57" w:rsidRPr="008E35EA" w:rsidRDefault="00680D57" w:rsidP="00CB70E3">
      <w:pPr>
        <w:pStyle w:val="Heading1"/>
        <w:jc w:val="both"/>
        <w:rPr>
          <w:b w:val="0"/>
          <w:lang w:val="pt-BR"/>
        </w:rPr>
      </w:pPr>
    </w:p>
    <w:sectPr w:rsidR="00680D57" w:rsidRPr="008E35EA" w:rsidSect="00C63D0C">
      <w:headerReference w:type="default" r:id="rId7"/>
      <w:footerReference w:type="default" r:id="rId8"/>
      <w:footerReference w:type="first" r:id="rId9"/>
      <w:pgSz w:w="11906" w:h="16838"/>
      <w:pgMar w:top="1417" w:right="1701" w:bottom="1417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005340" w14:textId="77777777" w:rsidR="008F6B09" w:rsidRDefault="008F6B09" w:rsidP="00C76F1C">
      <w:r>
        <w:separator/>
      </w:r>
    </w:p>
  </w:endnote>
  <w:endnote w:type="continuationSeparator" w:id="0">
    <w:p w14:paraId="1A1DD52D" w14:textId="77777777" w:rsidR="008F6B09" w:rsidRDefault="008F6B09" w:rsidP="00C76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36A20" w14:textId="461DC383" w:rsidR="005452FE" w:rsidRDefault="005452FE">
    <w:pPr>
      <w:pStyle w:val="Foo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90D81D3" wp14:editId="57CDB9A0">
          <wp:simplePos x="0" y="0"/>
          <wp:positionH relativeFrom="column">
            <wp:posOffset>367306</wp:posOffset>
          </wp:positionH>
          <wp:positionV relativeFrom="paragraph">
            <wp:posOffset>-55053</wp:posOffset>
          </wp:positionV>
          <wp:extent cx="1032934" cy="481971"/>
          <wp:effectExtent l="0" t="0" r="0" b="0"/>
          <wp:wrapNone/>
          <wp:docPr id="1815879879" name="Imagen 1815879879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5917725" name="Imagen 6" descr="Imagen que contiene 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2934" cy="481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1807AEEE" wp14:editId="49A43E68">
          <wp:simplePos x="0" y="0"/>
          <wp:positionH relativeFrom="column">
            <wp:posOffset>4111708</wp:posOffset>
          </wp:positionH>
          <wp:positionV relativeFrom="paragraph">
            <wp:posOffset>-46134</wp:posOffset>
          </wp:positionV>
          <wp:extent cx="654231" cy="432435"/>
          <wp:effectExtent l="0" t="0" r="0" b="5715"/>
          <wp:wrapNone/>
          <wp:docPr id="970735336" name="Imagen 970735336" descr="Imagen que contiene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02864" name="Imagen 5" descr="Imagen que contiene nombre de la empresa&#10;&#10;Descripción generada automáticament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231" cy="432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5107C664" wp14:editId="3F36EC81">
          <wp:simplePos x="0" y="0"/>
          <wp:positionH relativeFrom="column">
            <wp:posOffset>1535458</wp:posOffset>
          </wp:positionH>
          <wp:positionV relativeFrom="paragraph">
            <wp:posOffset>69215</wp:posOffset>
          </wp:positionV>
          <wp:extent cx="994288" cy="255266"/>
          <wp:effectExtent l="0" t="0" r="0" b="0"/>
          <wp:wrapNone/>
          <wp:docPr id="1029277846" name="Imagen 1029277846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968204" name="Imagen 3" descr="Texto&#10;&#10;Descripción generada automáticamente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288" cy="255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2C987328" wp14:editId="4553CAE0">
          <wp:simplePos x="0" y="0"/>
          <wp:positionH relativeFrom="column">
            <wp:posOffset>2704189</wp:posOffset>
          </wp:positionH>
          <wp:positionV relativeFrom="paragraph">
            <wp:posOffset>-45775</wp:posOffset>
          </wp:positionV>
          <wp:extent cx="1290611" cy="469029"/>
          <wp:effectExtent l="0" t="0" r="5080" b="7620"/>
          <wp:wrapNone/>
          <wp:docPr id="308908582" name="Imagen 308908582" descr="Interfaz de usuario gráfica, Texto, Aplicación, Correo electrón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213296" name="Imagen 4" descr="Interfaz de usuario gráfica, Texto, Aplicación, Correo electrónico&#10;&#10;Descripción generada automáticamente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0611" cy="469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3448F" w14:textId="1AEA1128" w:rsidR="00F557B0" w:rsidRPr="00C8495B" w:rsidRDefault="00C8495B">
    <w:pPr>
      <w:pStyle w:val="Footer"/>
      <w:rPr>
        <w:lang w:val="pt-PT"/>
      </w:rPr>
    </w:pPr>
    <w:r w:rsidRPr="00C8495B">
      <w:rPr>
        <w:color w:val="767171" w:themeColor="background2" w:themeShade="80"/>
        <w:sz w:val="18"/>
        <w:szCs w:val="18"/>
        <w:lang w:val="pt-PT"/>
      </w:rPr>
      <w:t>Este documento foi elaborado no âmbito de um contrato com a União Europeia (HAQAA3). As opiniões expressas são apenas as do contratante e não representam a posição oficial da entidade adjudicante.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5315CB" w14:textId="77777777" w:rsidR="008F6B09" w:rsidRDefault="008F6B09" w:rsidP="00C76F1C">
      <w:r>
        <w:separator/>
      </w:r>
    </w:p>
  </w:footnote>
  <w:footnote w:type="continuationSeparator" w:id="0">
    <w:p w14:paraId="08343372" w14:textId="77777777" w:rsidR="008F6B09" w:rsidRDefault="008F6B09" w:rsidP="00C76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B8D11" w14:textId="5B68AAE9" w:rsidR="00680D57" w:rsidRDefault="00C80D08" w:rsidP="00C76F1C">
    <w:pPr>
      <w:pStyle w:val="Header"/>
    </w:pPr>
    <w:r>
      <w:rPr>
        <w:noProof/>
        <w:color w:val="4472C4" w:themeColor="accent1"/>
      </w:rPr>
      <w:drawing>
        <wp:anchor distT="0" distB="0" distL="114300" distR="114300" simplePos="0" relativeHeight="251667456" behindDoc="1" locked="0" layoutInCell="1" allowOverlap="1" wp14:anchorId="59718429" wp14:editId="1693C293">
          <wp:simplePos x="0" y="0"/>
          <wp:positionH relativeFrom="column">
            <wp:posOffset>2701290</wp:posOffset>
          </wp:positionH>
          <wp:positionV relativeFrom="paragraph">
            <wp:posOffset>-306705</wp:posOffset>
          </wp:positionV>
          <wp:extent cx="3001504" cy="877084"/>
          <wp:effectExtent l="0" t="0" r="8890" b="0"/>
          <wp:wrapNone/>
          <wp:docPr id="696915181" name="Imagen 69691518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1831" name="Imagen 2" descr="Imagen que contiene Form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1504" cy="877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D57">
      <w:rPr>
        <w:noProof/>
      </w:rPr>
      <w:drawing>
        <wp:anchor distT="0" distB="0" distL="114300" distR="114300" simplePos="0" relativeHeight="251658240" behindDoc="1" locked="0" layoutInCell="1" allowOverlap="1" wp14:anchorId="2306EE09" wp14:editId="33A1395A">
          <wp:simplePos x="0" y="0"/>
          <wp:positionH relativeFrom="column">
            <wp:posOffset>-341492</wp:posOffset>
          </wp:positionH>
          <wp:positionV relativeFrom="paragraph">
            <wp:posOffset>-258528</wp:posOffset>
          </wp:positionV>
          <wp:extent cx="1629410" cy="508000"/>
          <wp:effectExtent l="0" t="0" r="8890" b="6350"/>
          <wp:wrapSquare wrapText="bothSides"/>
          <wp:docPr id="715119375" name="Imagen 1" descr="Un dibujo de una cara feliz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19375" name="Imagen 1" descr="Un dibujo de una cara feliz&#10;&#10;Descripción generada automáticamente con confianza baj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941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7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  <w:sz w:val="22"/>
        <w:szCs w:val="22"/>
        <w:lang w:val="en-GB"/>
      </w:rPr>
    </w:lvl>
  </w:abstractNum>
  <w:abstractNum w:abstractNumId="1" w15:restartNumberingAfterBreak="0">
    <w:nsid w:val="00000003"/>
    <w:multiLevelType w:val="singleLevel"/>
    <w:tmpl w:val="00000003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  <w:lang w:val="en-GB"/>
      </w:rPr>
    </w:lvl>
  </w:abstractNum>
  <w:abstractNum w:abstractNumId="2" w15:restartNumberingAfterBreak="0">
    <w:nsid w:val="1CF6494C"/>
    <w:multiLevelType w:val="hybridMultilevel"/>
    <w:tmpl w:val="6C7A047E"/>
    <w:lvl w:ilvl="0" w:tplc="962C834A">
      <w:start w:val="1"/>
      <w:numFmt w:val="lowerLetter"/>
      <w:lvlText w:val="%1)"/>
      <w:lvlJc w:val="left"/>
      <w:pPr>
        <w:ind w:left="32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A20BC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227CD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58119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3E48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5CF46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E07F4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DAA58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BCE6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882DC2"/>
    <w:multiLevelType w:val="hybridMultilevel"/>
    <w:tmpl w:val="5492E0FA"/>
    <w:lvl w:ilvl="0" w:tplc="52669FAC">
      <w:start w:val="1"/>
      <w:numFmt w:val="lowerLetter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4A74EA">
      <w:start w:val="1"/>
      <w:numFmt w:val="lowerLetter"/>
      <w:lvlText w:val="%2"/>
      <w:lvlJc w:val="left"/>
      <w:pPr>
        <w:ind w:left="11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F6EA8E">
      <w:start w:val="1"/>
      <w:numFmt w:val="lowerRoman"/>
      <w:lvlText w:val="%3"/>
      <w:lvlJc w:val="left"/>
      <w:pPr>
        <w:ind w:left="18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28C186">
      <w:start w:val="1"/>
      <w:numFmt w:val="decimal"/>
      <w:lvlText w:val="%4"/>
      <w:lvlJc w:val="left"/>
      <w:pPr>
        <w:ind w:left="25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0C4FA2">
      <w:start w:val="1"/>
      <w:numFmt w:val="lowerLetter"/>
      <w:lvlText w:val="%5"/>
      <w:lvlJc w:val="left"/>
      <w:pPr>
        <w:ind w:left="32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26741A">
      <w:start w:val="1"/>
      <w:numFmt w:val="lowerRoman"/>
      <w:lvlText w:val="%6"/>
      <w:lvlJc w:val="left"/>
      <w:pPr>
        <w:ind w:left="39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3AF0C2">
      <w:start w:val="1"/>
      <w:numFmt w:val="decimal"/>
      <w:lvlText w:val="%7"/>
      <w:lvlJc w:val="left"/>
      <w:pPr>
        <w:ind w:left="47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6E9AAC">
      <w:start w:val="1"/>
      <w:numFmt w:val="lowerLetter"/>
      <w:lvlText w:val="%8"/>
      <w:lvlJc w:val="left"/>
      <w:pPr>
        <w:ind w:left="54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5465D4">
      <w:start w:val="1"/>
      <w:numFmt w:val="lowerRoman"/>
      <w:lvlText w:val="%9"/>
      <w:lvlJc w:val="left"/>
      <w:pPr>
        <w:ind w:left="6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4E61BD"/>
    <w:multiLevelType w:val="hybridMultilevel"/>
    <w:tmpl w:val="BECAE3E6"/>
    <w:lvl w:ilvl="0" w:tplc="867A5690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AE11C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96C5C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6C79B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20512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5A1CC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98FB8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E4CB3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7E6AC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766D31"/>
    <w:multiLevelType w:val="hybridMultilevel"/>
    <w:tmpl w:val="A524DA2A"/>
    <w:lvl w:ilvl="0" w:tplc="050E3E18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6569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341FE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56994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B4A5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DAB4E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8AA85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6E4A5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828D8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E438CA"/>
    <w:multiLevelType w:val="hybridMultilevel"/>
    <w:tmpl w:val="C3A4FDFA"/>
    <w:lvl w:ilvl="0" w:tplc="06983DE6">
      <w:start w:val="1"/>
      <w:numFmt w:val="bullet"/>
      <w:lvlText w:val="•"/>
      <w:lvlJc w:val="left"/>
      <w:pPr>
        <w:ind w:left="26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3C046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784AF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126F7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5E6D7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2AA46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467C0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942FC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6CFDE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6E4510"/>
    <w:multiLevelType w:val="hybridMultilevel"/>
    <w:tmpl w:val="7DEE8794"/>
    <w:lvl w:ilvl="0" w:tplc="E1FE8F2A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902E4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96425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5C17C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20859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5666B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8C725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50830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5AD6B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CA6D16"/>
    <w:multiLevelType w:val="hybridMultilevel"/>
    <w:tmpl w:val="5A5A8FB6"/>
    <w:lvl w:ilvl="0" w:tplc="B2281578">
      <w:start w:val="1"/>
      <w:numFmt w:val="lowerLetter"/>
      <w:lvlText w:val="%1)"/>
      <w:lvlJc w:val="left"/>
      <w:pPr>
        <w:ind w:left="36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388456">
      <w:start w:val="1"/>
      <w:numFmt w:val="lowerLetter"/>
      <w:lvlText w:val="%2"/>
      <w:lvlJc w:val="left"/>
      <w:pPr>
        <w:ind w:left="111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02A68">
      <w:start w:val="1"/>
      <w:numFmt w:val="lowerRoman"/>
      <w:lvlText w:val="%3"/>
      <w:lvlJc w:val="left"/>
      <w:pPr>
        <w:ind w:left="183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2C94C6">
      <w:start w:val="1"/>
      <w:numFmt w:val="decimal"/>
      <w:lvlText w:val="%4"/>
      <w:lvlJc w:val="left"/>
      <w:pPr>
        <w:ind w:left="255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4E6DD2">
      <w:start w:val="1"/>
      <w:numFmt w:val="lowerLetter"/>
      <w:lvlText w:val="%5"/>
      <w:lvlJc w:val="left"/>
      <w:pPr>
        <w:ind w:left="327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063420">
      <w:start w:val="1"/>
      <w:numFmt w:val="lowerRoman"/>
      <w:lvlText w:val="%6"/>
      <w:lvlJc w:val="left"/>
      <w:pPr>
        <w:ind w:left="399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DEE8E2">
      <w:start w:val="1"/>
      <w:numFmt w:val="decimal"/>
      <w:lvlText w:val="%7"/>
      <w:lvlJc w:val="left"/>
      <w:pPr>
        <w:ind w:left="471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A29022">
      <w:start w:val="1"/>
      <w:numFmt w:val="lowerLetter"/>
      <w:lvlText w:val="%8"/>
      <w:lvlJc w:val="left"/>
      <w:pPr>
        <w:ind w:left="543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ECD62C">
      <w:start w:val="1"/>
      <w:numFmt w:val="lowerRoman"/>
      <w:lvlText w:val="%9"/>
      <w:lvlJc w:val="left"/>
      <w:pPr>
        <w:ind w:left="615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9A82ECC"/>
    <w:multiLevelType w:val="hybridMultilevel"/>
    <w:tmpl w:val="12163F30"/>
    <w:lvl w:ilvl="0" w:tplc="8E7E1382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3EE95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842B8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BE3EC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7E34D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26128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02D8D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6CAB3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EF39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9B762E5"/>
    <w:multiLevelType w:val="hybridMultilevel"/>
    <w:tmpl w:val="7996FE76"/>
    <w:lvl w:ilvl="0" w:tplc="AE7677A6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3E41F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40B0E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3059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30CD8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63B0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98EA0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3AE41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A4E0A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16D3DFA"/>
    <w:multiLevelType w:val="hybridMultilevel"/>
    <w:tmpl w:val="B562E378"/>
    <w:lvl w:ilvl="0" w:tplc="F85203AE">
      <w:start w:val="1"/>
      <w:numFmt w:val="lowerLetter"/>
      <w:lvlText w:val="%1)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B4F1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BE04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52389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DABB7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70B8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AE6D5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96DAD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9E690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A2730E"/>
    <w:multiLevelType w:val="hybridMultilevel"/>
    <w:tmpl w:val="40BCFEE8"/>
    <w:lvl w:ilvl="0" w:tplc="9C224A1C">
      <w:start w:val="1"/>
      <w:numFmt w:val="lowerRoman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B2F37A">
      <w:start w:val="1"/>
      <w:numFmt w:val="lowerLetter"/>
      <w:lvlText w:val="%2"/>
      <w:lvlJc w:val="left"/>
      <w:pPr>
        <w:ind w:left="110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504C4A">
      <w:start w:val="1"/>
      <w:numFmt w:val="lowerRoman"/>
      <w:lvlText w:val="%3"/>
      <w:lvlJc w:val="left"/>
      <w:pPr>
        <w:ind w:left="182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6067BC">
      <w:start w:val="1"/>
      <w:numFmt w:val="decimal"/>
      <w:lvlText w:val="%4"/>
      <w:lvlJc w:val="left"/>
      <w:pPr>
        <w:ind w:left="25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E22AC0">
      <w:start w:val="1"/>
      <w:numFmt w:val="lowerLetter"/>
      <w:lvlText w:val="%5"/>
      <w:lvlJc w:val="left"/>
      <w:pPr>
        <w:ind w:left="32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806C7E">
      <w:start w:val="1"/>
      <w:numFmt w:val="lowerRoman"/>
      <w:lvlText w:val="%6"/>
      <w:lvlJc w:val="left"/>
      <w:pPr>
        <w:ind w:left="39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EE1068">
      <w:start w:val="1"/>
      <w:numFmt w:val="decimal"/>
      <w:lvlText w:val="%7"/>
      <w:lvlJc w:val="left"/>
      <w:pPr>
        <w:ind w:left="470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88088A">
      <w:start w:val="1"/>
      <w:numFmt w:val="lowerLetter"/>
      <w:lvlText w:val="%8"/>
      <w:lvlJc w:val="left"/>
      <w:pPr>
        <w:ind w:left="542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B06692">
      <w:start w:val="1"/>
      <w:numFmt w:val="lowerRoman"/>
      <w:lvlText w:val="%9"/>
      <w:lvlJc w:val="left"/>
      <w:pPr>
        <w:ind w:left="61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2E135EF"/>
    <w:multiLevelType w:val="hybridMultilevel"/>
    <w:tmpl w:val="C0C82D24"/>
    <w:lvl w:ilvl="0" w:tplc="4D08B1E6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66F84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A6FC3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5AA26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6C2C8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8ED07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FE045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92B08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644D7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C2A0C9C"/>
    <w:multiLevelType w:val="hybridMultilevel"/>
    <w:tmpl w:val="C4160624"/>
    <w:lvl w:ilvl="0" w:tplc="DB029B0C">
      <w:start w:val="1"/>
      <w:numFmt w:val="bullet"/>
      <w:lvlText w:val=""/>
      <w:lvlJc w:val="left"/>
      <w:pPr>
        <w:ind w:left="340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5E8FD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76751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B66B2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BA5C4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4A1DB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6E631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B8A38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36302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E495674"/>
    <w:multiLevelType w:val="hybridMultilevel"/>
    <w:tmpl w:val="BB2AC430"/>
    <w:lvl w:ilvl="0" w:tplc="ED2EA4B2">
      <w:start w:val="1"/>
      <w:numFmt w:val="bullet"/>
      <w:lvlText w:val="•"/>
      <w:lvlJc w:val="left"/>
      <w:pPr>
        <w:ind w:left="227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B410A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84D83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181A9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7ECA9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8C3CA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6A890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E49C9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BE97E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723668A"/>
    <w:multiLevelType w:val="hybridMultilevel"/>
    <w:tmpl w:val="F148E5A2"/>
    <w:lvl w:ilvl="0" w:tplc="0254D3CA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2CD86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243C3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5EA41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2E46F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C6A29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66E36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DABCD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D8DD0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B5D1EE8"/>
    <w:multiLevelType w:val="hybridMultilevel"/>
    <w:tmpl w:val="E870D71A"/>
    <w:lvl w:ilvl="0" w:tplc="A934CB7C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A2F08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E28C2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AC2A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3A96D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E27EA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76D8D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DC934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84305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1FD595D"/>
    <w:multiLevelType w:val="hybridMultilevel"/>
    <w:tmpl w:val="0EB6DE50"/>
    <w:lvl w:ilvl="0" w:tplc="4CBAFA12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460D9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A4C8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1CC70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149FA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F099F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0AFFD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D0B33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D6CBE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282D57"/>
    <w:multiLevelType w:val="hybridMultilevel"/>
    <w:tmpl w:val="3B826F46"/>
    <w:lvl w:ilvl="0" w:tplc="334AEADC">
      <w:start w:val="1"/>
      <w:numFmt w:val="lowerLetter"/>
      <w:lvlText w:val="%1)"/>
      <w:lvlJc w:val="left"/>
      <w:pPr>
        <w:ind w:left="34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8E4402">
      <w:start w:val="1"/>
      <w:numFmt w:val="lowerLetter"/>
      <w:lvlText w:val="%2"/>
      <w:lvlJc w:val="left"/>
      <w:pPr>
        <w:ind w:left="108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805F42">
      <w:start w:val="1"/>
      <w:numFmt w:val="lowerRoman"/>
      <w:lvlText w:val="%3"/>
      <w:lvlJc w:val="left"/>
      <w:pPr>
        <w:ind w:left="180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C6BA82">
      <w:start w:val="1"/>
      <w:numFmt w:val="decimal"/>
      <w:lvlText w:val="%4"/>
      <w:lvlJc w:val="left"/>
      <w:pPr>
        <w:ind w:left="252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F01422">
      <w:start w:val="1"/>
      <w:numFmt w:val="lowerLetter"/>
      <w:lvlText w:val="%5"/>
      <w:lvlJc w:val="left"/>
      <w:pPr>
        <w:ind w:left="324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3A025E">
      <w:start w:val="1"/>
      <w:numFmt w:val="lowerRoman"/>
      <w:lvlText w:val="%6"/>
      <w:lvlJc w:val="left"/>
      <w:pPr>
        <w:ind w:left="396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7E1B30">
      <w:start w:val="1"/>
      <w:numFmt w:val="decimal"/>
      <w:lvlText w:val="%7"/>
      <w:lvlJc w:val="left"/>
      <w:pPr>
        <w:ind w:left="468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64FB3E">
      <w:start w:val="1"/>
      <w:numFmt w:val="lowerLetter"/>
      <w:lvlText w:val="%8"/>
      <w:lvlJc w:val="left"/>
      <w:pPr>
        <w:ind w:left="540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169E56">
      <w:start w:val="1"/>
      <w:numFmt w:val="lowerRoman"/>
      <w:lvlText w:val="%9"/>
      <w:lvlJc w:val="left"/>
      <w:pPr>
        <w:ind w:left="612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4CA4481"/>
    <w:multiLevelType w:val="hybridMultilevel"/>
    <w:tmpl w:val="A36ABB3C"/>
    <w:lvl w:ilvl="0" w:tplc="6400D3E2">
      <w:start w:val="1"/>
      <w:numFmt w:val="lowerLetter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0ED8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6031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4E45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E285E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E690F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5A5E4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50AC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24F5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8DF4D0A"/>
    <w:multiLevelType w:val="hybridMultilevel"/>
    <w:tmpl w:val="8962EB06"/>
    <w:lvl w:ilvl="0" w:tplc="F462E178">
      <w:start w:val="1"/>
      <w:numFmt w:val="lowerLetter"/>
      <w:lvlText w:val="%1)"/>
      <w:lvlJc w:val="left"/>
      <w:pPr>
        <w:ind w:left="36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A40728">
      <w:start w:val="1"/>
      <w:numFmt w:val="lowerLetter"/>
      <w:lvlText w:val="%2"/>
      <w:lvlJc w:val="left"/>
      <w:pPr>
        <w:ind w:left="111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E8F810">
      <w:start w:val="1"/>
      <w:numFmt w:val="lowerRoman"/>
      <w:lvlText w:val="%3"/>
      <w:lvlJc w:val="left"/>
      <w:pPr>
        <w:ind w:left="183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164A1E">
      <w:start w:val="1"/>
      <w:numFmt w:val="decimal"/>
      <w:lvlText w:val="%4"/>
      <w:lvlJc w:val="left"/>
      <w:pPr>
        <w:ind w:left="255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1A09C0">
      <w:start w:val="1"/>
      <w:numFmt w:val="lowerLetter"/>
      <w:lvlText w:val="%5"/>
      <w:lvlJc w:val="left"/>
      <w:pPr>
        <w:ind w:left="327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987E02">
      <w:start w:val="1"/>
      <w:numFmt w:val="lowerRoman"/>
      <w:lvlText w:val="%6"/>
      <w:lvlJc w:val="left"/>
      <w:pPr>
        <w:ind w:left="399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96630C">
      <w:start w:val="1"/>
      <w:numFmt w:val="decimal"/>
      <w:lvlText w:val="%7"/>
      <w:lvlJc w:val="left"/>
      <w:pPr>
        <w:ind w:left="471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9C2578">
      <w:start w:val="1"/>
      <w:numFmt w:val="lowerLetter"/>
      <w:lvlText w:val="%8"/>
      <w:lvlJc w:val="left"/>
      <w:pPr>
        <w:ind w:left="543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ACF944">
      <w:start w:val="1"/>
      <w:numFmt w:val="lowerRoman"/>
      <w:lvlText w:val="%9"/>
      <w:lvlJc w:val="left"/>
      <w:pPr>
        <w:ind w:left="6157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A4616C5"/>
    <w:multiLevelType w:val="hybridMultilevel"/>
    <w:tmpl w:val="9678FE00"/>
    <w:lvl w:ilvl="0" w:tplc="04DE2910">
      <w:start w:val="9"/>
      <w:numFmt w:val="lowerLetter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B86FD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D25B2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A05E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9CBF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0CF9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2E3F2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D604C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96C57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DCB2BB3"/>
    <w:multiLevelType w:val="hybridMultilevel"/>
    <w:tmpl w:val="49BE831E"/>
    <w:lvl w:ilvl="0" w:tplc="AF9A2696">
      <w:start w:val="1"/>
      <w:numFmt w:val="lowerLetter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8285D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188CD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80EB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3CF7E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9A15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1EE8B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FCE07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F42C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E3A49FD"/>
    <w:multiLevelType w:val="hybridMultilevel"/>
    <w:tmpl w:val="5040F5F8"/>
    <w:lvl w:ilvl="0" w:tplc="E18C6034">
      <w:start w:val="1"/>
      <w:numFmt w:val="lowerLetter"/>
      <w:lvlText w:val="%1)"/>
      <w:lvlJc w:val="left"/>
      <w:pPr>
        <w:ind w:left="34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74C6B6">
      <w:start w:val="1"/>
      <w:numFmt w:val="lowerLetter"/>
      <w:lvlText w:val="%2"/>
      <w:lvlJc w:val="left"/>
      <w:pPr>
        <w:ind w:left="108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AB4BE">
      <w:start w:val="1"/>
      <w:numFmt w:val="lowerRoman"/>
      <w:lvlText w:val="%3"/>
      <w:lvlJc w:val="left"/>
      <w:pPr>
        <w:ind w:left="180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36CE96">
      <w:start w:val="1"/>
      <w:numFmt w:val="decimal"/>
      <w:lvlText w:val="%4"/>
      <w:lvlJc w:val="left"/>
      <w:pPr>
        <w:ind w:left="252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FA881E">
      <w:start w:val="1"/>
      <w:numFmt w:val="lowerLetter"/>
      <w:lvlText w:val="%5"/>
      <w:lvlJc w:val="left"/>
      <w:pPr>
        <w:ind w:left="324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A6155A">
      <w:start w:val="1"/>
      <w:numFmt w:val="lowerRoman"/>
      <w:lvlText w:val="%6"/>
      <w:lvlJc w:val="left"/>
      <w:pPr>
        <w:ind w:left="396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3EC248">
      <w:start w:val="1"/>
      <w:numFmt w:val="decimal"/>
      <w:lvlText w:val="%7"/>
      <w:lvlJc w:val="left"/>
      <w:pPr>
        <w:ind w:left="468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E65F36">
      <w:start w:val="1"/>
      <w:numFmt w:val="lowerLetter"/>
      <w:lvlText w:val="%8"/>
      <w:lvlJc w:val="left"/>
      <w:pPr>
        <w:ind w:left="540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584822">
      <w:start w:val="1"/>
      <w:numFmt w:val="lowerRoman"/>
      <w:lvlText w:val="%9"/>
      <w:lvlJc w:val="left"/>
      <w:pPr>
        <w:ind w:left="6120"/>
      </w:pPr>
      <w:rPr>
        <w:rFonts w:ascii="Bahnschrift" w:eastAsia="Bahnschrift" w:hAnsi="Bahnschrift" w:cs="Bahnschrift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90347573">
    <w:abstractNumId w:val="9"/>
  </w:num>
  <w:num w:numId="2" w16cid:durableId="167058458">
    <w:abstractNumId w:val="17"/>
  </w:num>
  <w:num w:numId="3" w16cid:durableId="653340544">
    <w:abstractNumId w:val="6"/>
  </w:num>
  <w:num w:numId="4" w16cid:durableId="1041975446">
    <w:abstractNumId w:val="7"/>
  </w:num>
  <w:num w:numId="5" w16cid:durableId="1486701471">
    <w:abstractNumId w:val="10"/>
  </w:num>
  <w:num w:numId="6" w16cid:durableId="263080785">
    <w:abstractNumId w:val="8"/>
  </w:num>
  <w:num w:numId="7" w16cid:durableId="729578389">
    <w:abstractNumId w:val="5"/>
  </w:num>
  <w:num w:numId="8" w16cid:durableId="385417260">
    <w:abstractNumId w:val="19"/>
  </w:num>
  <w:num w:numId="9" w16cid:durableId="1025137513">
    <w:abstractNumId w:val="18"/>
  </w:num>
  <w:num w:numId="10" w16cid:durableId="2146459798">
    <w:abstractNumId w:val="11"/>
  </w:num>
  <w:num w:numId="11" w16cid:durableId="277228023">
    <w:abstractNumId w:val="2"/>
  </w:num>
  <w:num w:numId="12" w16cid:durableId="1284389376">
    <w:abstractNumId w:val="22"/>
  </w:num>
  <w:num w:numId="13" w16cid:durableId="973952288">
    <w:abstractNumId w:val="16"/>
  </w:num>
  <w:num w:numId="14" w16cid:durableId="2032561549">
    <w:abstractNumId w:val="21"/>
  </w:num>
  <w:num w:numId="15" w16cid:durableId="640888610">
    <w:abstractNumId w:val="24"/>
  </w:num>
  <w:num w:numId="16" w16cid:durableId="462188761">
    <w:abstractNumId w:val="12"/>
  </w:num>
  <w:num w:numId="17" w16cid:durableId="111486459">
    <w:abstractNumId w:val="14"/>
  </w:num>
  <w:num w:numId="18" w16cid:durableId="920455461">
    <w:abstractNumId w:val="15"/>
  </w:num>
  <w:num w:numId="19" w16cid:durableId="392242171">
    <w:abstractNumId w:val="13"/>
  </w:num>
  <w:num w:numId="20" w16cid:durableId="1571118024">
    <w:abstractNumId w:val="4"/>
  </w:num>
  <w:num w:numId="21" w16cid:durableId="91559631">
    <w:abstractNumId w:val="23"/>
  </w:num>
  <w:num w:numId="22" w16cid:durableId="1851214979">
    <w:abstractNumId w:val="3"/>
  </w:num>
  <w:num w:numId="23" w16cid:durableId="688915803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57"/>
    <w:rsid w:val="000000F9"/>
    <w:rsid w:val="00010D55"/>
    <w:rsid w:val="000206E5"/>
    <w:rsid w:val="00033199"/>
    <w:rsid w:val="00041E9D"/>
    <w:rsid w:val="00045FB6"/>
    <w:rsid w:val="0008743C"/>
    <w:rsid w:val="00091D87"/>
    <w:rsid w:val="000A6BDB"/>
    <w:rsid w:val="000F6B40"/>
    <w:rsid w:val="00116D5B"/>
    <w:rsid w:val="001252DE"/>
    <w:rsid w:val="00127D6C"/>
    <w:rsid w:val="001310D6"/>
    <w:rsid w:val="00132380"/>
    <w:rsid w:val="0015716E"/>
    <w:rsid w:val="00184FC2"/>
    <w:rsid w:val="0019103A"/>
    <w:rsid w:val="001920CF"/>
    <w:rsid w:val="001F28AC"/>
    <w:rsid w:val="001F7BFA"/>
    <w:rsid w:val="002063ED"/>
    <w:rsid w:val="0021601B"/>
    <w:rsid w:val="00223F6F"/>
    <w:rsid w:val="00271D56"/>
    <w:rsid w:val="00297A39"/>
    <w:rsid w:val="002A3E1F"/>
    <w:rsid w:val="002A7B3E"/>
    <w:rsid w:val="002F279C"/>
    <w:rsid w:val="00336275"/>
    <w:rsid w:val="00346FEC"/>
    <w:rsid w:val="003753BF"/>
    <w:rsid w:val="00394151"/>
    <w:rsid w:val="003957D5"/>
    <w:rsid w:val="003A2C3E"/>
    <w:rsid w:val="003A56AC"/>
    <w:rsid w:val="003A735F"/>
    <w:rsid w:val="0044325D"/>
    <w:rsid w:val="00451A33"/>
    <w:rsid w:val="0045293F"/>
    <w:rsid w:val="00472386"/>
    <w:rsid w:val="00482354"/>
    <w:rsid w:val="004842B1"/>
    <w:rsid w:val="0049052B"/>
    <w:rsid w:val="004C0750"/>
    <w:rsid w:val="005253C9"/>
    <w:rsid w:val="00544F43"/>
    <w:rsid w:val="005452FE"/>
    <w:rsid w:val="005A3C10"/>
    <w:rsid w:val="005B381B"/>
    <w:rsid w:val="005C14A6"/>
    <w:rsid w:val="005C15DA"/>
    <w:rsid w:val="005D2E73"/>
    <w:rsid w:val="005E54DF"/>
    <w:rsid w:val="005F42D3"/>
    <w:rsid w:val="00607010"/>
    <w:rsid w:val="00610C3C"/>
    <w:rsid w:val="00615463"/>
    <w:rsid w:val="00634626"/>
    <w:rsid w:val="00655AC2"/>
    <w:rsid w:val="00680D57"/>
    <w:rsid w:val="00684B27"/>
    <w:rsid w:val="00690031"/>
    <w:rsid w:val="00693DB7"/>
    <w:rsid w:val="006A58D5"/>
    <w:rsid w:val="006D0222"/>
    <w:rsid w:val="006E11CD"/>
    <w:rsid w:val="006E62B6"/>
    <w:rsid w:val="007B2F57"/>
    <w:rsid w:val="007B7513"/>
    <w:rsid w:val="007D6EFE"/>
    <w:rsid w:val="007E4B10"/>
    <w:rsid w:val="007E6139"/>
    <w:rsid w:val="008031B0"/>
    <w:rsid w:val="0081040F"/>
    <w:rsid w:val="00817536"/>
    <w:rsid w:val="00844687"/>
    <w:rsid w:val="008528E8"/>
    <w:rsid w:val="00882112"/>
    <w:rsid w:val="00891CB8"/>
    <w:rsid w:val="00893858"/>
    <w:rsid w:val="008D5381"/>
    <w:rsid w:val="008E35EA"/>
    <w:rsid w:val="008F6B09"/>
    <w:rsid w:val="00923568"/>
    <w:rsid w:val="00951D7B"/>
    <w:rsid w:val="009739F8"/>
    <w:rsid w:val="009744F4"/>
    <w:rsid w:val="0098197D"/>
    <w:rsid w:val="00994962"/>
    <w:rsid w:val="009978FE"/>
    <w:rsid w:val="009A563F"/>
    <w:rsid w:val="009F14F2"/>
    <w:rsid w:val="00A00549"/>
    <w:rsid w:val="00A17972"/>
    <w:rsid w:val="00A441BB"/>
    <w:rsid w:val="00A7463B"/>
    <w:rsid w:val="00A92FFB"/>
    <w:rsid w:val="00A93F47"/>
    <w:rsid w:val="00AA77ED"/>
    <w:rsid w:val="00AB0FEE"/>
    <w:rsid w:val="00AF5686"/>
    <w:rsid w:val="00B038A2"/>
    <w:rsid w:val="00B15797"/>
    <w:rsid w:val="00B15A1B"/>
    <w:rsid w:val="00B473A6"/>
    <w:rsid w:val="00B52CBE"/>
    <w:rsid w:val="00B60D25"/>
    <w:rsid w:val="00BB239C"/>
    <w:rsid w:val="00BB497D"/>
    <w:rsid w:val="00C17A72"/>
    <w:rsid w:val="00C20CD8"/>
    <w:rsid w:val="00C60176"/>
    <w:rsid w:val="00C63D0C"/>
    <w:rsid w:val="00C76F1C"/>
    <w:rsid w:val="00C80D08"/>
    <w:rsid w:val="00C8495B"/>
    <w:rsid w:val="00C9220B"/>
    <w:rsid w:val="00C940E7"/>
    <w:rsid w:val="00CB4A03"/>
    <w:rsid w:val="00CB70E3"/>
    <w:rsid w:val="00CF2BFD"/>
    <w:rsid w:val="00D0671F"/>
    <w:rsid w:val="00D30585"/>
    <w:rsid w:val="00DA4844"/>
    <w:rsid w:val="00DC552F"/>
    <w:rsid w:val="00DD02AA"/>
    <w:rsid w:val="00DD48A4"/>
    <w:rsid w:val="00E020CA"/>
    <w:rsid w:val="00E1149D"/>
    <w:rsid w:val="00E21E96"/>
    <w:rsid w:val="00E22BAC"/>
    <w:rsid w:val="00E25C1D"/>
    <w:rsid w:val="00E328A2"/>
    <w:rsid w:val="00E36EA0"/>
    <w:rsid w:val="00E41B80"/>
    <w:rsid w:val="00E43ECD"/>
    <w:rsid w:val="00E7673B"/>
    <w:rsid w:val="00E9401D"/>
    <w:rsid w:val="00EA6108"/>
    <w:rsid w:val="00EA6CEC"/>
    <w:rsid w:val="00EE0FE2"/>
    <w:rsid w:val="00EE1D05"/>
    <w:rsid w:val="00EF54D2"/>
    <w:rsid w:val="00F3176C"/>
    <w:rsid w:val="00F400AB"/>
    <w:rsid w:val="00F4281C"/>
    <w:rsid w:val="00F557B0"/>
    <w:rsid w:val="00FA76C8"/>
    <w:rsid w:val="00FB16F2"/>
    <w:rsid w:val="00FC77A5"/>
    <w:rsid w:val="00FD7048"/>
    <w:rsid w:val="00FE1875"/>
    <w:rsid w:val="00FE4F77"/>
    <w:rsid w:val="00FE7F68"/>
    <w:rsid w:val="00FF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D33E3A"/>
  <w15:chartTrackingRefBased/>
  <w15:docId w15:val="{B9AD5015-3B62-4AF1-952F-DCFE5587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B3E"/>
    <w:rPr>
      <w:lang w:val="en-GB"/>
    </w:rPr>
  </w:style>
  <w:style w:type="paragraph" w:styleId="Heading1">
    <w:name w:val="heading 1"/>
    <w:basedOn w:val="Title"/>
    <w:next w:val="Normal"/>
    <w:link w:val="Heading1Char"/>
    <w:uiPriority w:val="9"/>
    <w:qFormat/>
    <w:rsid w:val="003A56AC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56AC"/>
    <w:pPr>
      <w:keepNext/>
      <w:keepLines/>
      <w:spacing w:before="40" w:after="0"/>
      <w:outlineLvl w:val="1"/>
    </w:pPr>
    <w:rPr>
      <w:rFonts w:eastAsiaTheme="majorEastAsia" w:cstheme="majorBidi"/>
      <w:smallCaps/>
      <w:color w:val="1D1D1B"/>
      <w:sz w:val="36"/>
      <w:szCs w:val="36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56AC"/>
    <w:pPr>
      <w:keepNext/>
      <w:keepLines/>
      <w:spacing w:before="40" w:after="0"/>
      <w:outlineLvl w:val="2"/>
    </w:pPr>
    <w:rPr>
      <w:rFonts w:eastAsiaTheme="majorEastAsia" w:cstheme="majorBidi"/>
      <w:smallCaps/>
      <w:color w:val="1D1D1B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56AC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1D1D1B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80D57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0"/>
    <w:rsid w:val="00680D57"/>
    <w:rPr>
      <w:rFonts w:ascii="Montserrat" w:eastAsiaTheme="majorEastAsia" w:hAnsi="Montserrat" w:cstheme="majorBidi"/>
      <w:b/>
      <w:spacing w:val="-10"/>
      <w:kern w:val="28"/>
      <w:sz w:val="56"/>
      <w:szCs w:val="56"/>
      <w:lang w:val="en-GB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Heading1Char">
    <w:name w:val="Heading 1 Char"/>
    <w:basedOn w:val="DefaultParagraphFont"/>
    <w:link w:val="Heading1"/>
    <w:uiPriority w:val="9"/>
    <w:rsid w:val="003A56AC"/>
    <w:rPr>
      <w:rFonts w:ascii="Montserrat" w:eastAsiaTheme="majorEastAsia" w:hAnsi="Montserrat" w:cstheme="majorBidi"/>
      <w:b/>
      <w:spacing w:val="-10"/>
      <w:kern w:val="28"/>
      <w:sz w:val="56"/>
      <w:szCs w:val="56"/>
      <w:lang w:val="en-GB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Heading2Char">
    <w:name w:val="Heading 2 Char"/>
    <w:basedOn w:val="DefaultParagraphFont"/>
    <w:link w:val="Heading2"/>
    <w:uiPriority w:val="9"/>
    <w:rsid w:val="003A56AC"/>
    <w:rPr>
      <w:rFonts w:ascii="Montserrat" w:eastAsiaTheme="majorEastAsia" w:hAnsi="Montserrat" w:cstheme="majorBidi"/>
      <w:smallCaps/>
      <w:color w:val="1D1D1B"/>
      <w:sz w:val="36"/>
      <w:szCs w:val="36"/>
      <w:lang w:val="en-GB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Heading3Char">
    <w:name w:val="Heading 3 Char"/>
    <w:basedOn w:val="DefaultParagraphFont"/>
    <w:link w:val="Heading3"/>
    <w:uiPriority w:val="9"/>
    <w:rsid w:val="003A56AC"/>
    <w:rPr>
      <w:rFonts w:ascii="Montserrat" w:eastAsiaTheme="majorEastAsia" w:hAnsi="Montserrat" w:cstheme="majorBidi"/>
      <w:smallCaps/>
      <w:color w:val="1D1D1B"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80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D57"/>
    <w:rPr>
      <w:rFonts w:ascii="Montserrat" w:hAnsi="Montserrat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80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D57"/>
    <w:rPr>
      <w:rFonts w:ascii="Montserrat" w:hAnsi="Montserrat"/>
      <w:lang w:val="en-GB"/>
    </w:rPr>
  </w:style>
  <w:style w:type="paragraph" w:styleId="NoSpacing">
    <w:name w:val="No Spacing"/>
    <w:link w:val="NoSpacingChar"/>
    <w:uiPriority w:val="1"/>
    <w:qFormat/>
    <w:rsid w:val="00680D57"/>
    <w:pPr>
      <w:spacing w:after="0" w:line="240" w:lineRule="auto"/>
    </w:pPr>
    <w:rPr>
      <w:rFonts w:eastAsiaTheme="minorEastAsia"/>
      <w:kern w:val="0"/>
      <w:lang w:eastAsia="es-E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680D57"/>
    <w:rPr>
      <w:rFonts w:eastAsiaTheme="minorEastAsia"/>
      <w:kern w:val="0"/>
      <w:lang w:eastAsia="es-E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3A56AC"/>
    <w:rPr>
      <w:rFonts w:ascii="Montserrat" w:eastAsiaTheme="majorEastAsia" w:hAnsi="Montserrat" w:cstheme="majorBidi"/>
      <w:i/>
      <w:iCs/>
      <w:color w:val="1D1D1B"/>
      <w:sz w:val="24"/>
      <w:szCs w:val="24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BB497D"/>
    <w:pPr>
      <w:outlineLvl w:val="9"/>
    </w:pPr>
    <w:rPr>
      <w:rFonts w:asciiTheme="majorHAnsi" w:hAnsiTheme="majorHAnsi"/>
      <w:smallCaps/>
      <w:color w:val="2F5496" w:themeColor="accent1" w:themeShade="BF"/>
      <w:kern w:val="0"/>
      <w:lang w:val="es-ES" w:eastAsia="es-ES"/>
      <w14:textFill>
        <w14:solidFill>
          <w14:schemeClr w14:val="accent1">
            <w14:lumMod w14:val="75000"/>
          </w14:schemeClr>
        </w14:solidFill>
      </w14:textFill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B497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B497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B497D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B497D"/>
    <w:rPr>
      <w:color w:val="0563C1" w:themeColor="hyperlink"/>
      <w:u w:val="single"/>
    </w:rPr>
  </w:style>
  <w:style w:type="paragraph" w:styleId="NormalWeb">
    <w:name w:val="Normal (Web)"/>
    <w:basedOn w:val="Normal"/>
    <w:unhideWhenUsed/>
    <w:rsid w:val="005C1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styleleft15cm">
    <w:name w:val="styleleft15cm"/>
    <w:basedOn w:val="Normal"/>
    <w:rsid w:val="005C14A6"/>
    <w:pPr>
      <w:suppressAutoHyphens/>
      <w:spacing w:after="0" w:line="240" w:lineRule="auto"/>
      <w:ind w:left="851"/>
    </w:pPr>
    <w:rPr>
      <w:rFonts w:ascii="Verdana" w:eastAsia="Times New Roman" w:hAnsi="Verdana" w:cs="Verdana"/>
      <w:kern w:val="0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5C14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14A6"/>
    <w:pPr>
      <w:spacing w:after="0" w:line="240" w:lineRule="auto"/>
    </w:pPr>
    <w:rPr>
      <w:rFonts w:eastAsiaTheme="minorEastAsia"/>
      <w:kern w:val="0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14A6"/>
    <w:rPr>
      <w:rFonts w:eastAsiaTheme="minorEastAsia"/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4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14A6"/>
    <w:rPr>
      <w:rFonts w:eastAsiaTheme="minorEastAsia"/>
      <w:b/>
      <w:bCs/>
      <w:kern w:val="0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5C14A6"/>
    <w:pPr>
      <w:spacing w:after="0" w:line="240" w:lineRule="auto"/>
    </w:pPr>
    <w:rPr>
      <w:rFonts w:eastAsiaTheme="minorEastAsia"/>
      <w:kern w:val="0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14A6"/>
    <w:pPr>
      <w:spacing w:after="0" w:line="240" w:lineRule="auto"/>
    </w:pPr>
    <w:rPr>
      <w:rFonts w:eastAsiaTheme="minorEastAsia"/>
      <w:kern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14A6"/>
    <w:rPr>
      <w:rFonts w:eastAsiaTheme="minorEastAsia"/>
      <w:kern w:val="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C14A6"/>
    <w:rPr>
      <w:vertAlign w:val="superscript"/>
    </w:rPr>
  </w:style>
  <w:style w:type="paragraph" w:styleId="ListParagraph">
    <w:name w:val="List Paragraph"/>
    <w:aliases w:val="Bullets,References,Numbered List Paragraph,ReferencesCxSpLast,List Paragraph (numbered (a)),List Paragraph nowy,Liste 1,List Bulet,List Paragraph in table,List Paragraph 1,• List Paragraph,Dot pt,F5 List Paragraph,AB List 1"/>
    <w:basedOn w:val="Normal"/>
    <w:link w:val="ListParagraphChar"/>
    <w:uiPriority w:val="34"/>
    <w:qFormat/>
    <w:rsid w:val="00346FEC"/>
    <w:pPr>
      <w:spacing w:after="0" w:line="240" w:lineRule="auto"/>
      <w:ind w:left="720"/>
      <w:contextualSpacing/>
    </w:pPr>
    <w:rPr>
      <w:rFonts w:eastAsiaTheme="minorEastAsia"/>
      <w:kern w:val="0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4A6"/>
    <w:pPr>
      <w:spacing w:after="0" w:line="240" w:lineRule="auto"/>
    </w:pPr>
    <w:rPr>
      <w:rFonts w:ascii="Tahoma" w:eastAsiaTheme="minorEastAsia" w:hAnsi="Tahoma" w:cs="Tahoma"/>
      <w:kern w:val="0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4A6"/>
    <w:rPr>
      <w:rFonts w:ascii="Tahoma" w:eastAsiaTheme="minorEastAsia" w:hAnsi="Tahoma" w:cs="Tahoma"/>
      <w:kern w:val="0"/>
      <w:sz w:val="16"/>
      <w:szCs w:val="16"/>
      <w:lang w:val="en-US"/>
    </w:rPr>
  </w:style>
  <w:style w:type="character" w:customStyle="1" w:styleId="apple-converted-space">
    <w:name w:val="apple-converted-space"/>
    <w:basedOn w:val="DefaultParagraphFont"/>
    <w:rsid w:val="005C14A6"/>
  </w:style>
  <w:style w:type="character" w:styleId="Emphasis">
    <w:name w:val="Emphasis"/>
    <w:basedOn w:val="DefaultParagraphFont"/>
    <w:uiPriority w:val="20"/>
    <w:qFormat/>
    <w:rsid w:val="005C14A6"/>
    <w:rPr>
      <w:i/>
      <w:iCs/>
    </w:rPr>
  </w:style>
  <w:style w:type="table" w:styleId="TableGrid">
    <w:name w:val="Table Grid"/>
    <w:basedOn w:val="TableNormal"/>
    <w:uiPriority w:val="59"/>
    <w:rsid w:val="005C14A6"/>
    <w:pPr>
      <w:spacing w:after="0" w:line="240" w:lineRule="auto"/>
    </w:pPr>
    <w:rPr>
      <w:rFonts w:eastAsiaTheme="minorEastAsia"/>
      <w:kern w:val="0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5C14A6"/>
  </w:style>
  <w:style w:type="table" w:customStyle="1" w:styleId="TableGrid1">
    <w:name w:val="Table Grid1"/>
    <w:basedOn w:val="TableNormal"/>
    <w:next w:val="TableGrid"/>
    <w:uiPriority w:val="59"/>
    <w:rsid w:val="005C14A6"/>
    <w:pPr>
      <w:spacing w:after="0" w:line="240" w:lineRule="auto"/>
    </w:pPr>
    <w:rPr>
      <w:rFonts w:eastAsiaTheme="minorEastAsia"/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semiHidden/>
    <w:unhideWhenUsed/>
    <w:rsid w:val="005C14A6"/>
    <w:pPr>
      <w:spacing w:after="200" w:line="240" w:lineRule="auto"/>
    </w:pPr>
    <w:rPr>
      <w:rFonts w:eastAsiaTheme="minorEastAsia"/>
      <w:kern w:val="0"/>
      <w:sz w:val="24"/>
      <w:szCs w:val="24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5C14A6"/>
    <w:pPr>
      <w:spacing w:after="200"/>
    </w:pPr>
    <w:rPr>
      <w:b/>
      <w:bCs/>
    </w:rPr>
  </w:style>
  <w:style w:type="character" w:customStyle="1" w:styleId="CommentTextChar1">
    <w:name w:val="Comment Text Char1"/>
    <w:basedOn w:val="DefaultParagraphFont"/>
    <w:uiPriority w:val="99"/>
    <w:rsid w:val="005C14A6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5C14A6"/>
    <w:rPr>
      <w:b/>
      <w:bCs/>
      <w:sz w:val="20"/>
      <w:szCs w:val="20"/>
    </w:rPr>
  </w:style>
  <w:style w:type="character" w:customStyle="1" w:styleId="ListParagraphChar">
    <w:name w:val="List Paragraph Char"/>
    <w:aliases w:val="Bullets Char,References Char,Numbered List Paragraph Char,ReferencesCxSpLast Char,List Paragraph (numbered (a)) Char,List Paragraph nowy Char,Liste 1 Char,List Bulet Char,List Paragraph in table Char,List Paragraph 1 Char,Dot pt Char"/>
    <w:link w:val="ListParagraph"/>
    <w:uiPriority w:val="34"/>
    <w:locked/>
    <w:rsid w:val="00346FEC"/>
    <w:rPr>
      <w:rFonts w:eastAsiaTheme="minorEastAsia"/>
      <w:kern w:val="0"/>
      <w:szCs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C14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C14A6"/>
    <w:rPr>
      <w:rFonts w:ascii="Courier New" w:eastAsia="Times New Roman" w:hAnsi="Courier New" w:cs="Courier New"/>
      <w:kern w:val="0"/>
      <w:sz w:val="20"/>
      <w:szCs w:val="20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13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E6139"/>
    <w:rPr>
      <w:rFonts w:eastAsiaTheme="minorEastAsia"/>
      <w:color w:val="5A5A5A" w:themeColor="text1" w:themeTint="A5"/>
      <w:spacing w:val="15"/>
      <w:lang w:val="en-GB"/>
    </w:rPr>
  </w:style>
  <w:style w:type="character" w:styleId="SubtleEmphasis">
    <w:name w:val="Subtle Emphasis"/>
    <w:basedOn w:val="DefaultParagraphFont"/>
    <w:uiPriority w:val="19"/>
    <w:qFormat/>
    <w:rsid w:val="007E6139"/>
    <w:rPr>
      <w:i/>
      <w:iCs/>
      <w:color w:val="404040" w:themeColor="text1" w:themeTint="BF"/>
    </w:rPr>
  </w:style>
  <w:style w:type="table" w:customStyle="1" w:styleId="TableGrid0">
    <w:name w:val="TableGrid"/>
    <w:rsid w:val="008E35EA"/>
    <w:pPr>
      <w:spacing w:after="0" w:line="240" w:lineRule="auto"/>
    </w:pPr>
    <w:rPr>
      <w:rFonts w:eastAsiaTheme="minorEastAsia"/>
      <w:sz w:val="24"/>
      <w:szCs w:val="24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 Espósito</dc:creator>
  <cp:keywords/>
  <dc:description/>
  <cp:lastModifiedBy>Luis Miranda | ENQA</cp:lastModifiedBy>
  <cp:revision>153</cp:revision>
  <cp:lastPrinted>2024-10-02T14:31:00Z</cp:lastPrinted>
  <dcterms:created xsi:type="dcterms:W3CDTF">2023-07-10T13:28:00Z</dcterms:created>
  <dcterms:modified xsi:type="dcterms:W3CDTF">2024-10-24T14:24:00Z</dcterms:modified>
</cp:coreProperties>
</file>