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C8D5F" w14:textId="02F26777" w:rsidR="00794AD9" w:rsidRDefault="00000000">
      <w:pPr>
        <w:keepNext/>
        <w:widowControl w:val="0"/>
        <w:spacing w:after="0" w:line="360" w:lineRule="auto"/>
        <w:jc w:val="center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Ficheiros de provas – avaliação de agência</w:t>
      </w:r>
      <w:r w:rsidR="00255D89">
        <w:rPr>
          <w:rFonts w:ascii="Calibri" w:eastAsia="Calibri" w:hAnsi="Calibri" w:cs="Calibri"/>
          <w:sz w:val="24"/>
          <w:szCs w:val="24"/>
          <w:u w:val="single"/>
        </w:rPr>
        <w:t xml:space="preserve"> HAQAA3</w:t>
      </w:r>
    </w:p>
    <w:p w14:paraId="22586CA6" w14:textId="77777777" w:rsidR="00794AD9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PARTE C: Garantia de Qualidade Interna para Agência de Garantia de Qualidade</w:t>
      </w:r>
    </w:p>
    <w:p w14:paraId="354CEECD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637207C9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1, PARTE C: Estatuto Legal</w:t>
      </w:r>
    </w:p>
    <w:tbl>
      <w:tblPr>
        <w:tblStyle w:val="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60BFB3B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97A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3E73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CB596F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646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92B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5E294C6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D18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3628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5ED451F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349A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FFDB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259EC7E" w14:textId="77777777" w:rsidR="00794AD9" w:rsidRDefault="00794AD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</w:rPr>
      </w:pPr>
    </w:p>
    <w:p w14:paraId="1ED25D3D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2, PARTE C: Formulação da Visão e Missão</w:t>
      </w:r>
    </w:p>
    <w:tbl>
      <w:tblPr>
        <w:tblStyle w:val="a0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4734F24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C13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C6A2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399103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FEF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FE4A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22DCCF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AB5B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7D53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493FB4B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FF3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4E41A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C042F97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  <w:color w:val="2E74B5"/>
        </w:rPr>
      </w:pPr>
    </w:p>
    <w:p w14:paraId="37A2714C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3, PARTE C: Governação e Gestão</w:t>
      </w:r>
    </w:p>
    <w:tbl>
      <w:tblPr>
        <w:tblStyle w:val="a1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2AC8536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485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731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0740E6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81F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80E7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133A98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B82A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190B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B248B7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03B8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A90DE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407F10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1FB6A9B5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4, PARTE C: Independência da agência de garantia de qualidade</w:t>
      </w:r>
    </w:p>
    <w:tbl>
      <w:tblPr>
        <w:tblStyle w:val="a2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07C72F8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4A83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618D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E121CE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DE3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39E7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033406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7B91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3A60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4B91E67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8CDB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A747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742839F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0DC04D4C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5, PARTE C: Políticas, processos e atividades</w:t>
      </w:r>
    </w:p>
    <w:tbl>
      <w:tblPr>
        <w:tblStyle w:val="a3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12093A2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0A9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171B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5CBFED3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DD3B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E0B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D71EB0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AF1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F9D3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04F7D83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1F0B7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C647C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32F8B4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41FF0AF2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6, PARTE C: Garantia de qualidade interna</w:t>
      </w:r>
    </w:p>
    <w:tbl>
      <w:tblPr>
        <w:tblStyle w:val="a4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1CFC917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ABD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832F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7A2B19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6C70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BA1D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5164E7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E90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C9C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971862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8158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8AF8A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334EA41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700B6FCA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7, PARTE C: Recursos financeiros e recursos humanos</w:t>
      </w:r>
    </w:p>
    <w:tbl>
      <w:tblPr>
        <w:tblStyle w:val="a5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572D69D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90B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B1E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2D8899D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6C07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FE1E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5142A01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B2B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D56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3104EA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4305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8B90F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3A69DE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3A04B881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8, PARTE C: Benchmarking, Redes e Colaboração</w:t>
      </w:r>
    </w:p>
    <w:tbl>
      <w:tblPr>
        <w:tblStyle w:val="a6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4A8A663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03E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C8.1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9DDA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2FF9AE1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1659D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C8.2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1300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164A51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2A1D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C8.3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480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954E6A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EECF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760970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9207944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1DD90A2F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9, PARTE C: Revisão Periódica das agências de garantia de qualidade (QAA)</w:t>
      </w:r>
    </w:p>
    <w:tbl>
      <w:tblPr>
        <w:tblStyle w:val="a7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6AF44E1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76C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C9.1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8C7D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26162A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529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C9.2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B97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992E66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5DC7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C9.3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8A5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20201CC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ADB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A9E8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AFCA436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19345BA6" w14:textId="77777777" w:rsidR="00794AD9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PARTE B: Padrões e Linhas de orientação para a Garantia de Qualidade Externa </w:t>
      </w:r>
    </w:p>
    <w:p w14:paraId="08ACB35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6468E7BF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1, PARTE B: Objetivos da garantia da qualidade externa (EQA) e Considerações para a garantia da Qualidade Interna (IQA)</w:t>
      </w:r>
    </w:p>
    <w:tbl>
      <w:tblPr>
        <w:tblStyle w:val="a8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609D988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6DB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E65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0EDD87D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4A7D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34FE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2E50271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459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F54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A4CC1D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975A6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353A6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DB4902B" w14:textId="77777777" w:rsidR="00794AD9" w:rsidRDefault="00794AD9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</w:rPr>
      </w:pPr>
    </w:p>
    <w:p w14:paraId="430BBDA1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2, PARTE B: Concepção de mecanismos de garantia de qualidade externa adequados à finalidade</w:t>
      </w:r>
    </w:p>
    <w:tbl>
      <w:tblPr>
        <w:tblStyle w:val="a9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2F52BB4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94A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388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7EFA01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A480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8DF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538D4BB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1D2D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1A71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DEFFFD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D166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12F4B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B36289B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  <w:color w:val="2E74B5"/>
        </w:rPr>
      </w:pPr>
    </w:p>
    <w:p w14:paraId="57C08BF6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3, PARTE B: Processos de implementação da Garantia de Qualidade Externa (EQA)</w:t>
      </w:r>
    </w:p>
    <w:tbl>
      <w:tblPr>
        <w:tblStyle w:val="a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39DC4C8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4B6A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DC5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4ABD069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5C0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F86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A8E9C8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CF2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23FD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319C0B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84F3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4FA0E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E039103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49DEFA14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4, PARTE B: Independência da Avaliação</w:t>
      </w:r>
    </w:p>
    <w:tbl>
      <w:tblPr>
        <w:tblStyle w:val="ab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288CADA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B0E1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528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107249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CAE4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63E5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2AA1CCA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1A2E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3D6F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4A2341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E9ED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FEF8F9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DB407DA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0E9E1F53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5, PARTE B: Resultados e decisão de avaliação externa</w:t>
      </w:r>
    </w:p>
    <w:tbl>
      <w:tblPr>
        <w:tblStyle w:val="ac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60057D2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608F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2AA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B8008A3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EA45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BA40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761B720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1176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90D8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0CB70C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56C9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550C73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7B2ED7D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264DDB22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6, PARTE B: Revisão Periódica de Instituições e Programas</w:t>
      </w:r>
    </w:p>
    <w:tbl>
      <w:tblPr>
        <w:tblStyle w:val="ad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78B0201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719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2160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1C972ED5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DF62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81F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09BA1EA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55E7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7C6B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E5E00D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3B18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E2F1AC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75227A5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65C7B6FC" w14:textId="77777777" w:rsidR="00794AD9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PADRÃO 7, PARTE B: Queixas e Reclamações</w:t>
      </w:r>
    </w:p>
    <w:tbl>
      <w:tblPr>
        <w:tblStyle w:val="ae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794AD9" w14:paraId="27F7A06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DDC7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FB47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4D119B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099A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45E4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393A2AE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4BCF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253C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94AD9" w14:paraId="62109E4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3A3C" w14:textId="77777777" w:rsidR="00794AD9" w:rsidRDefault="00000000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2B543" w14:textId="77777777" w:rsidR="00794AD9" w:rsidRDefault="00794AD9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295334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p w14:paraId="20DD260D" w14:textId="77777777" w:rsidR="00794AD9" w:rsidRDefault="00000000">
      <w:pPr>
        <w:rPr>
          <w:rFonts w:ascii="Calibri" w:eastAsia="Calibri" w:hAnsi="Calibri" w:cs="Calibri"/>
          <w:u w:val="single"/>
        </w:rPr>
      </w:pPr>
      <w:r>
        <w:br w:type="page"/>
      </w:r>
    </w:p>
    <w:p w14:paraId="5F0992D8" w14:textId="77777777" w:rsidR="00794AD9" w:rsidRDefault="00794AD9">
      <w:pPr>
        <w:spacing w:after="0" w:line="240" w:lineRule="auto"/>
        <w:rPr>
          <w:rFonts w:ascii="Calibri" w:eastAsia="Calibri" w:hAnsi="Calibri" w:cs="Calibri"/>
          <w:b/>
        </w:rPr>
      </w:pPr>
    </w:p>
    <w:sectPr w:rsidR="00794AD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8C8298-E23F-49A9-9E6B-50278CC782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00941C9-8AFA-4E6E-B522-57383DEAA916}"/>
    <w:embedItalic r:id="rId3" w:fontKey="{0B247060-90B8-4558-A1F1-B4AFB3167DC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20BBD12-292E-4C97-B0B6-E06BA8FBA9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38646B-0788-4471-AEE4-534BFA477A26}"/>
    <w:embedBold r:id="rId6" w:fontKey="{741AD43F-61D5-4037-AD72-69F8D618A9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8E6675"/>
    <w:multiLevelType w:val="multilevel"/>
    <w:tmpl w:val="B9AA2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7168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AD9"/>
    <w:rsid w:val="00255D89"/>
    <w:rsid w:val="00794AD9"/>
    <w:rsid w:val="00C8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A4C742"/>
  <w15:docId w15:val="{0EAA2312-4B20-4DF8-9565-DD5CFE4F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P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688"/>
  </w:style>
  <w:style w:type="paragraph" w:styleId="Heading1">
    <w:name w:val="heading 1"/>
    <w:basedOn w:val="Normal"/>
    <w:next w:val="Normal"/>
    <w:link w:val="Heading1Char"/>
    <w:uiPriority w:val="9"/>
    <w:qFormat/>
    <w:rsid w:val="000C3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3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C3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68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C3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688"/>
    <w:rPr>
      <w:b/>
      <w:bCs/>
      <w:smallCaps/>
      <w:color w:val="0F4761" w:themeColor="accent1" w:themeShade="BF"/>
      <w:spacing w:val="5"/>
    </w:rPr>
  </w:style>
  <w:style w:type="table" w:customStyle="1" w:styleId="TableGrid2">
    <w:name w:val="Table Grid2"/>
    <w:basedOn w:val="TableNormal"/>
    <w:uiPriority w:val="59"/>
    <w:rsid w:val="000C3688"/>
    <w:pPr>
      <w:spacing w:after="200" w:line="276" w:lineRule="auto"/>
      <w:jc w:val="both"/>
    </w:pPr>
    <w:rPr>
      <w:rFonts w:eastAsiaTheme="minorEastAsia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0VZvVLDn5eGE7pd7HztEAYNupQ==">CgMxLjA4AHIhMXNJQVNLd3JkTnNtVTkyVG8wcXVNVmZLQ0ZiYzRnV0VD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Willemse, Anneley</dc:creator>
  <cp:lastModifiedBy>Luis Miranda | ENQA</cp:lastModifiedBy>
  <cp:revision>2</cp:revision>
  <dcterms:created xsi:type="dcterms:W3CDTF">2024-07-05T07:03:00Z</dcterms:created>
  <dcterms:modified xsi:type="dcterms:W3CDTF">2026-01-29T15:47:00Z</dcterms:modified>
</cp:coreProperties>
</file>