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88E29" w14:textId="12911493" w:rsidR="003D4ED1" w:rsidRPr="00A205CC" w:rsidRDefault="00CF349D" w:rsidP="005A60F3">
      <w:pPr>
        <w:tabs>
          <w:tab w:val="left" w:pos="2024"/>
        </w:tabs>
        <w:jc w:val="center"/>
        <w:rPr>
          <w:rFonts w:ascii="Gill Sans MT" w:eastAsiaTheme="minorEastAsia" w:hAnsi="Gill Sans MT" w:cstheme="majorHAnsi"/>
          <w:b/>
          <w:bCs/>
          <w:sz w:val="28"/>
          <w:szCs w:val="28"/>
          <w:lang w:val="en-BE"/>
        </w:rPr>
      </w:pPr>
      <w:r>
        <w:rPr>
          <w:rFonts w:ascii="Gill Sans MT" w:eastAsiaTheme="minorEastAsia" w:hAnsi="Gill Sans MT" w:cstheme="majorHAnsi"/>
          <w:b/>
          <w:bCs/>
          <w:sz w:val="28"/>
          <w:szCs w:val="28"/>
          <w:lang w:val="en-BE"/>
        </w:rPr>
        <w:t xml:space="preserve">Mapping grid for panel members </w:t>
      </w:r>
    </w:p>
    <w:p w14:paraId="3D89FBBF" w14:textId="718B97E4" w:rsidR="00F137C3" w:rsidRPr="001E084C" w:rsidRDefault="00F137C3" w:rsidP="00467400">
      <w:pPr>
        <w:tabs>
          <w:tab w:val="left" w:pos="2024"/>
        </w:tabs>
        <w:rPr>
          <w:lang w:val="en-GB"/>
        </w:rPr>
      </w:pPr>
    </w:p>
    <w:tbl>
      <w:tblPr>
        <w:tblStyle w:val="TableGrid"/>
        <w:tblW w:w="0" w:type="auto"/>
        <w:tblLook w:val="04A0" w:firstRow="1" w:lastRow="0" w:firstColumn="1" w:lastColumn="0" w:noHBand="0" w:noVBand="1"/>
      </w:tblPr>
      <w:tblGrid>
        <w:gridCol w:w="1980"/>
        <w:gridCol w:w="7285"/>
        <w:gridCol w:w="3204"/>
        <w:gridCol w:w="1481"/>
      </w:tblGrid>
      <w:tr w:rsidR="00FB1413" w:rsidRPr="00FB1413" w14:paraId="546EF9CF" w14:textId="77777777" w:rsidTr="0044799E">
        <w:trPr>
          <w:tblHeader/>
        </w:trPr>
        <w:tc>
          <w:tcPr>
            <w:tcW w:w="1980" w:type="dxa"/>
            <w:shd w:val="clear" w:color="auto" w:fill="FFF2CC" w:themeFill="accent4" w:themeFillTint="33"/>
          </w:tcPr>
          <w:p w14:paraId="7F7F3BA4" w14:textId="218C99D8" w:rsidR="00171AFB" w:rsidRPr="00B96EB5" w:rsidRDefault="00E11F6A" w:rsidP="00467400">
            <w:pPr>
              <w:tabs>
                <w:tab w:val="left" w:pos="2024"/>
              </w:tabs>
              <w:rPr>
                <w:rFonts w:ascii="Arial" w:hAnsi="Arial" w:cs="Arial"/>
                <w:color w:val="FFFFFF" w:themeColor="background1"/>
              </w:rPr>
            </w:pPr>
            <w:r w:rsidRPr="00B96EB5">
              <w:rPr>
                <w:rFonts w:ascii="Gill Sans MT" w:eastAsiaTheme="minorEastAsia" w:hAnsi="Gill Sans MT" w:cstheme="majorHAnsi"/>
                <w:b/>
                <w:bCs/>
                <w:lang w:val="en-BE"/>
              </w:rPr>
              <w:t>A</w:t>
            </w:r>
            <w:r w:rsidR="003D4ED1" w:rsidRPr="00B96EB5">
              <w:rPr>
                <w:rFonts w:ascii="Gill Sans MT" w:eastAsiaTheme="minorEastAsia" w:hAnsi="Gill Sans MT" w:cstheme="majorHAnsi"/>
                <w:b/>
                <w:bCs/>
                <w:lang w:val="en-BE"/>
              </w:rPr>
              <w:t>SG-QA</w:t>
            </w:r>
            <w:r w:rsidR="00881CBF" w:rsidRPr="00B96EB5">
              <w:rPr>
                <w:rStyle w:val="FootnoteReference"/>
                <w:rFonts w:ascii="Arial" w:hAnsi="Arial" w:cs="Arial"/>
              </w:rPr>
              <w:footnoteReference w:id="1"/>
            </w:r>
          </w:p>
        </w:tc>
        <w:tc>
          <w:tcPr>
            <w:tcW w:w="7285" w:type="dxa"/>
            <w:shd w:val="clear" w:color="auto" w:fill="FFF2CC" w:themeFill="accent4" w:themeFillTint="33"/>
          </w:tcPr>
          <w:p w14:paraId="4F1FED80" w14:textId="2897C2B9" w:rsidR="00171AFB" w:rsidRPr="00B96EB5" w:rsidRDefault="00CF349D" w:rsidP="00467400">
            <w:pPr>
              <w:tabs>
                <w:tab w:val="left" w:pos="2024"/>
              </w:tabs>
              <w:rPr>
                <w:rFonts w:ascii="Gill Sans MT" w:eastAsiaTheme="minorEastAsia" w:hAnsi="Gill Sans MT" w:cstheme="majorHAnsi"/>
                <w:b/>
                <w:bCs/>
                <w:lang w:val="en-BE"/>
              </w:rPr>
            </w:pPr>
            <w:r>
              <w:rPr>
                <w:rFonts w:ascii="Gill Sans MT" w:eastAsiaTheme="minorEastAsia" w:hAnsi="Gill Sans MT" w:cstheme="majorHAnsi"/>
                <w:b/>
                <w:bCs/>
                <w:lang w:val="en-BE"/>
              </w:rPr>
              <w:t>STANDARD</w:t>
            </w:r>
          </w:p>
        </w:tc>
        <w:tc>
          <w:tcPr>
            <w:tcW w:w="3204" w:type="dxa"/>
            <w:shd w:val="clear" w:color="auto" w:fill="FFF2CC" w:themeFill="accent4" w:themeFillTint="33"/>
          </w:tcPr>
          <w:p w14:paraId="16E72922" w14:textId="0A1CBA9A" w:rsidR="00171AFB" w:rsidRPr="00B96EB5" w:rsidRDefault="00CF349D" w:rsidP="00467400">
            <w:pPr>
              <w:tabs>
                <w:tab w:val="left" w:pos="2024"/>
              </w:tabs>
              <w:rPr>
                <w:rFonts w:ascii="Gill Sans MT" w:eastAsiaTheme="minorEastAsia" w:hAnsi="Gill Sans MT" w:cstheme="majorHAnsi"/>
                <w:b/>
                <w:bCs/>
                <w:lang w:val="en-BE"/>
              </w:rPr>
            </w:pPr>
            <w:r>
              <w:rPr>
                <w:rFonts w:ascii="Gill Sans MT" w:eastAsiaTheme="minorEastAsia" w:hAnsi="Gill Sans MT" w:cstheme="majorHAnsi"/>
                <w:b/>
                <w:bCs/>
                <w:lang w:val="en-BE"/>
              </w:rPr>
              <w:t>ISSUES FOR DISCUSSION</w:t>
            </w:r>
          </w:p>
        </w:tc>
        <w:tc>
          <w:tcPr>
            <w:tcW w:w="1481" w:type="dxa"/>
            <w:shd w:val="clear" w:color="auto" w:fill="FFF2CC" w:themeFill="accent4" w:themeFillTint="33"/>
          </w:tcPr>
          <w:p w14:paraId="3D21CAD4" w14:textId="33DC4D41" w:rsidR="00171AFB" w:rsidRPr="00B96EB5" w:rsidRDefault="009E3340" w:rsidP="00467400">
            <w:pPr>
              <w:tabs>
                <w:tab w:val="left" w:pos="2024"/>
              </w:tabs>
              <w:rPr>
                <w:rFonts w:ascii="Gill Sans MT" w:eastAsiaTheme="minorEastAsia" w:hAnsi="Gill Sans MT" w:cstheme="majorHAnsi"/>
                <w:b/>
                <w:bCs/>
                <w:lang w:val="en-BE"/>
              </w:rPr>
            </w:pPr>
            <w:r w:rsidRPr="00B96EB5">
              <w:rPr>
                <w:rFonts w:ascii="Gill Sans MT" w:eastAsiaTheme="minorEastAsia" w:hAnsi="Gill Sans MT" w:cstheme="majorHAnsi"/>
                <w:b/>
                <w:bCs/>
                <w:lang w:val="en-BE"/>
              </w:rPr>
              <w:t>SESSION N</w:t>
            </w:r>
            <w:r w:rsidR="003D4ED1" w:rsidRPr="00B96EB5">
              <w:rPr>
                <w:rFonts w:ascii="Gill Sans MT" w:eastAsiaTheme="minorEastAsia" w:hAnsi="Gill Sans MT" w:cstheme="majorHAnsi"/>
                <w:b/>
                <w:bCs/>
                <w:lang w:val="en-BE"/>
              </w:rPr>
              <w:t>r</w:t>
            </w:r>
          </w:p>
        </w:tc>
      </w:tr>
      <w:tr w:rsidR="005A675C" w:rsidRPr="00FB1413" w14:paraId="2C219C66" w14:textId="77777777" w:rsidTr="005A675C">
        <w:tc>
          <w:tcPr>
            <w:tcW w:w="13950" w:type="dxa"/>
            <w:gridSpan w:val="4"/>
            <w:shd w:val="clear" w:color="auto" w:fill="D9D9D9" w:themeFill="background1" w:themeFillShade="D9"/>
          </w:tcPr>
          <w:p w14:paraId="6DB74D69" w14:textId="22145F87" w:rsidR="005A675C" w:rsidRPr="00A205CC" w:rsidRDefault="003D4ED1" w:rsidP="005A675C">
            <w:pPr>
              <w:tabs>
                <w:tab w:val="left" w:pos="2024"/>
              </w:tabs>
              <w:spacing w:before="120" w:after="120"/>
              <w:rPr>
                <w:rFonts w:ascii="Arial" w:hAnsi="Arial" w:cs="Arial"/>
              </w:rPr>
            </w:pPr>
            <w:r w:rsidRPr="00A205CC">
              <w:rPr>
                <w:rFonts w:ascii="Gill Sans MT" w:eastAsiaTheme="minorEastAsia" w:hAnsi="Gill Sans MT" w:cstheme="majorHAnsi"/>
                <w:lang w:val="en-BE"/>
              </w:rPr>
              <w:t>PART B</w:t>
            </w:r>
            <w:r w:rsidR="005A675C" w:rsidRPr="00A205CC">
              <w:rPr>
                <w:rFonts w:ascii="Gill Sans MT" w:eastAsiaTheme="minorEastAsia" w:hAnsi="Gill Sans MT" w:cstheme="majorHAnsi"/>
                <w:lang w:val="en-BE"/>
              </w:rPr>
              <w:t xml:space="preserve">: </w:t>
            </w:r>
            <w:r w:rsidR="00CF349D">
              <w:rPr>
                <w:rFonts w:ascii="Gill Sans MT" w:eastAsiaTheme="minorEastAsia" w:hAnsi="Gill Sans MT" w:cstheme="majorHAnsi"/>
                <w:lang w:val="en-BE"/>
              </w:rPr>
              <w:t xml:space="preserve">EXTERNAL QUALITY </w:t>
            </w:r>
            <w:r w:rsidRPr="00A205CC">
              <w:rPr>
                <w:rFonts w:ascii="Gill Sans MT" w:eastAsiaTheme="minorEastAsia" w:hAnsi="Gill Sans MT" w:cstheme="majorHAnsi"/>
                <w:lang w:val="en-BE"/>
              </w:rPr>
              <w:t xml:space="preserve">ASSURANCE </w:t>
            </w:r>
          </w:p>
        </w:tc>
      </w:tr>
      <w:tr w:rsidR="001E084C" w:rsidRPr="00775EDD" w14:paraId="333A784A" w14:textId="77777777" w:rsidTr="0044799E">
        <w:tc>
          <w:tcPr>
            <w:tcW w:w="1980" w:type="dxa"/>
          </w:tcPr>
          <w:p w14:paraId="508012DB" w14:textId="65258BCB" w:rsidR="001E084C" w:rsidRPr="00A205CC" w:rsidRDefault="001E084C" w:rsidP="00467400">
            <w:pPr>
              <w:tabs>
                <w:tab w:val="left" w:pos="2024"/>
              </w:tabs>
            </w:pPr>
            <w:r>
              <w:t>1</w:t>
            </w:r>
          </w:p>
        </w:tc>
        <w:tc>
          <w:tcPr>
            <w:tcW w:w="7285" w:type="dxa"/>
          </w:tcPr>
          <w:p w14:paraId="5C6035FF" w14:textId="7CDCE85C" w:rsidR="001E084C" w:rsidRPr="001E084C" w:rsidRDefault="001E084C" w:rsidP="001E084C">
            <w:pPr>
              <w:tabs>
                <w:tab w:val="left" w:pos="2024"/>
              </w:tabs>
              <w:rPr>
                <w:lang w:val="en-GB"/>
              </w:rPr>
            </w:pPr>
            <w:r w:rsidRPr="001E084C">
              <w:rPr>
                <w:lang w:val="en-GB"/>
              </w:rPr>
              <w:t xml:space="preserve">External quality assurance shall ensure that the higher education </w:t>
            </w:r>
            <w:r>
              <w:rPr>
                <w:lang w:val="en-GB"/>
              </w:rPr>
              <w:t>i</w:t>
            </w:r>
            <w:r w:rsidRPr="001E084C">
              <w:rPr>
                <w:lang w:val="en-GB"/>
              </w:rPr>
              <w:t>nstitution</w:t>
            </w:r>
            <w:r>
              <w:rPr>
                <w:lang w:val="en-GB"/>
              </w:rPr>
              <w:t xml:space="preserve"> </w:t>
            </w:r>
            <w:r w:rsidRPr="001E084C">
              <w:rPr>
                <w:lang w:val="en-GB"/>
              </w:rPr>
              <w:t>has clearly articulated vision and mission statements, and it shall help the</w:t>
            </w:r>
            <w:r>
              <w:rPr>
                <w:lang w:val="en-GB"/>
              </w:rPr>
              <w:t xml:space="preserve"> </w:t>
            </w:r>
            <w:r w:rsidRPr="001E084C">
              <w:rPr>
                <w:lang w:val="en-GB"/>
              </w:rPr>
              <w:t xml:space="preserve">institution ensure the effectiveness of its internal QA </w:t>
            </w:r>
            <w:r>
              <w:rPr>
                <w:lang w:val="en-GB"/>
              </w:rPr>
              <w:t>m</w:t>
            </w:r>
            <w:r w:rsidRPr="001E084C">
              <w:rPr>
                <w:lang w:val="en-GB"/>
              </w:rPr>
              <w:t>echanisms, providing</w:t>
            </w:r>
            <w:r>
              <w:rPr>
                <w:lang w:val="en-GB"/>
              </w:rPr>
              <w:t xml:space="preserve"> </w:t>
            </w:r>
            <w:r w:rsidRPr="001E084C">
              <w:rPr>
                <w:lang w:val="en-GB"/>
              </w:rPr>
              <w:t>an additional instrument for assessing institutional quality.</w:t>
            </w:r>
          </w:p>
        </w:tc>
        <w:tc>
          <w:tcPr>
            <w:tcW w:w="3204" w:type="dxa"/>
          </w:tcPr>
          <w:p w14:paraId="72045AB0" w14:textId="77777777" w:rsidR="001E084C" w:rsidRPr="001E084C" w:rsidRDefault="001E084C" w:rsidP="00467400">
            <w:pPr>
              <w:tabs>
                <w:tab w:val="left" w:pos="2024"/>
              </w:tabs>
              <w:rPr>
                <w:rFonts w:ascii="Arial" w:hAnsi="Arial" w:cs="Arial"/>
                <w:sz w:val="22"/>
                <w:szCs w:val="22"/>
                <w:lang w:val="en-GB"/>
              </w:rPr>
            </w:pPr>
          </w:p>
        </w:tc>
        <w:tc>
          <w:tcPr>
            <w:tcW w:w="1481" w:type="dxa"/>
          </w:tcPr>
          <w:p w14:paraId="2C181716" w14:textId="77777777" w:rsidR="001E084C" w:rsidRPr="001E084C" w:rsidRDefault="001E084C" w:rsidP="00467400">
            <w:pPr>
              <w:tabs>
                <w:tab w:val="left" w:pos="2024"/>
              </w:tabs>
              <w:rPr>
                <w:rFonts w:ascii="Arial" w:hAnsi="Arial" w:cs="Arial"/>
                <w:sz w:val="22"/>
                <w:szCs w:val="22"/>
                <w:lang w:val="en-GB"/>
              </w:rPr>
            </w:pPr>
          </w:p>
        </w:tc>
      </w:tr>
      <w:tr w:rsidR="00171AFB" w:rsidRPr="00775EDD" w14:paraId="270E0E29" w14:textId="77777777" w:rsidTr="0044799E">
        <w:tc>
          <w:tcPr>
            <w:tcW w:w="1980" w:type="dxa"/>
          </w:tcPr>
          <w:p w14:paraId="40726F63" w14:textId="71B46F15" w:rsidR="00171AFB" w:rsidRPr="00A205CC" w:rsidRDefault="00755B72" w:rsidP="00467400">
            <w:pPr>
              <w:tabs>
                <w:tab w:val="left" w:pos="2024"/>
              </w:tabs>
            </w:pPr>
            <w:r w:rsidRPr="00A205CC">
              <w:t>2</w:t>
            </w:r>
          </w:p>
        </w:tc>
        <w:tc>
          <w:tcPr>
            <w:tcW w:w="7285" w:type="dxa"/>
          </w:tcPr>
          <w:p w14:paraId="0128061B" w14:textId="25E76BAD" w:rsidR="00171AFB" w:rsidRPr="001E084C" w:rsidRDefault="001E084C" w:rsidP="00885123">
            <w:pPr>
              <w:tabs>
                <w:tab w:val="left" w:pos="2024"/>
              </w:tabs>
              <w:rPr>
                <w:rFonts w:ascii="Arial" w:hAnsi="Arial" w:cs="Arial"/>
                <w:sz w:val="22"/>
                <w:szCs w:val="22"/>
                <w:lang w:val="en-GB"/>
              </w:rPr>
            </w:pPr>
            <w:r w:rsidRPr="001E084C">
              <w:rPr>
                <w:lang w:val="en-GB"/>
              </w:rPr>
              <w:t>Standards, guidelines and processes for external quality assurance shall be designed to be fit for purpose, defined to achieve the intended aims and objectives of EQA, and to strengthen IQA systems at institutions.</w:t>
            </w:r>
          </w:p>
        </w:tc>
        <w:tc>
          <w:tcPr>
            <w:tcW w:w="3204" w:type="dxa"/>
          </w:tcPr>
          <w:p w14:paraId="777EE4D0" w14:textId="77777777" w:rsidR="00171AFB" w:rsidRPr="001E084C" w:rsidRDefault="00171AFB" w:rsidP="00467400">
            <w:pPr>
              <w:tabs>
                <w:tab w:val="left" w:pos="2024"/>
              </w:tabs>
              <w:rPr>
                <w:rFonts w:ascii="Arial" w:hAnsi="Arial" w:cs="Arial"/>
                <w:sz w:val="22"/>
                <w:szCs w:val="22"/>
                <w:lang w:val="en-GB"/>
              </w:rPr>
            </w:pPr>
          </w:p>
        </w:tc>
        <w:tc>
          <w:tcPr>
            <w:tcW w:w="1481" w:type="dxa"/>
          </w:tcPr>
          <w:p w14:paraId="5A1D09CE" w14:textId="77777777" w:rsidR="00171AFB" w:rsidRPr="001E084C" w:rsidRDefault="00171AFB" w:rsidP="00467400">
            <w:pPr>
              <w:tabs>
                <w:tab w:val="left" w:pos="2024"/>
              </w:tabs>
              <w:rPr>
                <w:rFonts w:ascii="Arial" w:hAnsi="Arial" w:cs="Arial"/>
                <w:sz w:val="22"/>
                <w:szCs w:val="22"/>
                <w:lang w:val="en-GB"/>
              </w:rPr>
            </w:pPr>
          </w:p>
        </w:tc>
      </w:tr>
      <w:tr w:rsidR="001E084C" w:rsidRPr="00775EDD" w14:paraId="0E233849" w14:textId="77777777" w:rsidTr="0044799E">
        <w:tc>
          <w:tcPr>
            <w:tcW w:w="1980" w:type="dxa"/>
          </w:tcPr>
          <w:p w14:paraId="06063A6E" w14:textId="6C70CD93" w:rsidR="001E084C" w:rsidRPr="00A205CC" w:rsidRDefault="001E084C" w:rsidP="00467400">
            <w:pPr>
              <w:tabs>
                <w:tab w:val="left" w:pos="2024"/>
              </w:tabs>
            </w:pPr>
            <w:r>
              <w:t>3</w:t>
            </w:r>
          </w:p>
        </w:tc>
        <w:tc>
          <w:tcPr>
            <w:tcW w:w="7285" w:type="dxa"/>
          </w:tcPr>
          <w:p w14:paraId="37FC4961" w14:textId="6E9EEB74" w:rsidR="001E084C" w:rsidRPr="001E084C" w:rsidRDefault="001E084C" w:rsidP="00885123">
            <w:pPr>
              <w:tabs>
                <w:tab w:val="left" w:pos="2024"/>
              </w:tabs>
              <w:rPr>
                <w:lang w:val="en-GB"/>
              </w:rPr>
            </w:pPr>
            <w:r w:rsidRPr="001E084C">
              <w:rPr>
                <w:lang w:val="en-GB"/>
              </w:rPr>
              <w:t>The standards, processes, and procedures for EQA shall be pre-defined, reliable, published, and consistently implemented for purposes of accountability</w:t>
            </w:r>
            <w:r>
              <w:rPr>
                <w:lang w:val="en-GB"/>
              </w:rPr>
              <w:t>.</w:t>
            </w:r>
          </w:p>
        </w:tc>
        <w:tc>
          <w:tcPr>
            <w:tcW w:w="3204" w:type="dxa"/>
          </w:tcPr>
          <w:p w14:paraId="6497E9A6" w14:textId="77777777" w:rsidR="001E084C" w:rsidRPr="001E084C" w:rsidRDefault="001E084C" w:rsidP="00467400">
            <w:pPr>
              <w:tabs>
                <w:tab w:val="left" w:pos="2024"/>
              </w:tabs>
              <w:rPr>
                <w:rFonts w:ascii="Arial" w:hAnsi="Arial" w:cs="Arial"/>
                <w:sz w:val="22"/>
                <w:szCs w:val="22"/>
                <w:lang w:val="en-GB"/>
              </w:rPr>
            </w:pPr>
          </w:p>
        </w:tc>
        <w:tc>
          <w:tcPr>
            <w:tcW w:w="1481" w:type="dxa"/>
          </w:tcPr>
          <w:p w14:paraId="32EB7639" w14:textId="77777777" w:rsidR="001E084C" w:rsidRPr="001E084C" w:rsidRDefault="001E084C" w:rsidP="00467400">
            <w:pPr>
              <w:tabs>
                <w:tab w:val="left" w:pos="2024"/>
              </w:tabs>
              <w:rPr>
                <w:rFonts w:ascii="Arial" w:hAnsi="Arial" w:cs="Arial"/>
                <w:sz w:val="22"/>
                <w:szCs w:val="22"/>
                <w:lang w:val="en-GB"/>
              </w:rPr>
            </w:pPr>
          </w:p>
        </w:tc>
      </w:tr>
      <w:tr w:rsidR="001E084C" w:rsidRPr="00775EDD" w14:paraId="71971296" w14:textId="77777777" w:rsidTr="0044799E">
        <w:tc>
          <w:tcPr>
            <w:tcW w:w="1980" w:type="dxa"/>
          </w:tcPr>
          <w:p w14:paraId="13FC2BCE" w14:textId="3E8B70A5" w:rsidR="001E084C" w:rsidRPr="00A205CC" w:rsidRDefault="001E084C" w:rsidP="00467400">
            <w:pPr>
              <w:tabs>
                <w:tab w:val="left" w:pos="2024"/>
              </w:tabs>
            </w:pPr>
            <w:r>
              <w:t>4</w:t>
            </w:r>
          </w:p>
        </w:tc>
        <w:tc>
          <w:tcPr>
            <w:tcW w:w="7285" w:type="dxa"/>
          </w:tcPr>
          <w:p w14:paraId="4C293761" w14:textId="7B01E384" w:rsidR="001E084C" w:rsidRPr="001E084C" w:rsidRDefault="001E084C" w:rsidP="00885123">
            <w:pPr>
              <w:tabs>
                <w:tab w:val="left" w:pos="2024"/>
              </w:tabs>
              <w:rPr>
                <w:lang w:val="en-GB"/>
              </w:rPr>
            </w:pPr>
            <w:r w:rsidRPr="001E084C">
              <w:rPr>
                <w:lang w:val="en-GB"/>
              </w:rPr>
              <w:t>EQA shall be carried out by panels of external experts drawn from a wide range of expertise and experience</w:t>
            </w:r>
            <w:r>
              <w:rPr>
                <w:lang w:val="en-GB"/>
              </w:rPr>
              <w:t>.</w:t>
            </w:r>
          </w:p>
        </w:tc>
        <w:tc>
          <w:tcPr>
            <w:tcW w:w="3204" w:type="dxa"/>
          </w:tcPr>
          <w:p w14:paraId="643E7142" w14:textId="77777777" w:rsidR="001E084C" w:rsidRPr="001E084C" w:rsidRDefault="001E084C" w:rsidP="00467400">
            <w:pPr>
              <w:tabs>
                <w:tab w:val="left" w:pos="2024"/>
              </w:tabs>
              <w:rPr>
                <w:rFonts w:ascii="Arial" w:hAnsi="Arial" w:cs="Arial"/>
                <w:sz w:val="22"/>
                <w:szCs w:val="22"/>
                <w:lang w:val="en-GB"/>
              </w:rPr>
            </w:pPr>
          </w:p>
        </w:tc>
        <w:tc>
          <w:tcPr>
            <w:tcW w:w="1481" w:type="dxa"/>
          </w:tcPr>
          <w:p w14:paraId="4A8BD5D4" w14:textId="77777777" w:rsidR="001E084C" w:rsidRPr="001E084C" w:rsidRDefault="001E084C" w:rsidP="00467400">
            <w:pPr>
              <w:tabs>
                <w:tab w:val="left" w:pos="2024"/>
              </w:tabs>
              <w:rPr>
                <w:rFonts w:ascii="Arial" w:hAnsi="Arial" w:cs="Arial"/>
                <w:sz w:val="22"/>
                <w:szCs w:val="22"/>
                <w:lang w:val="en-GB"/>
              </w:rPr>
            </w:pPr>
          </w:p>
        </w:tc>
      </w:tr>
      <w:tr w:rsidR="001E084C" w:rsidRPr="00775EDD" w14:paraId="5257E3EC" w14:textId="77777777" w:rsidTr="0044799E">
        <w:tc>
          <w:tcPr>
            <w:tcW w:w="1980" w:type="dxa"/>
          </w:tcPr>
          <w:p w14:paraId="449AFE01" w14:textId="066D47AE" w:rsidR="001E084C" w:rsidRPr="00A205CC" w:rsidRDefault="001E084C" w:rsidP="00467400">
            <w:pPr>
              <w:tabs>
                <w:tab w:val="left" w:pos="2024"/>
              </w:tabs>
            </w:pPr>
            <w:r>
              <w:t>5</w:t>
            </w:r>
          </w:p>
        </w:tc>
        <w:tc>
          <w:tcPr>
            <w:tcW w:w="7285" w:type="dxa"/>
          </w:tcPr>
          <w:p w14:paraId="090F43BC" w14:textId="4581B3BF" w:rsidR="001E084C" w:rsidRPr="001E084C" w:rsidRDefault="001E084C" w:rsidP="00885123">
            <w:pPr>
              <w:tabs>
                <w:tab w:val="left" w:pos="2024"/>
              </w:tabs>
              <w:rPr>
                <w:lang w:val="en-GB"/>
              </w:rPr>
            </w:pPr>
            <w:r w:rsidRPr="001E084C">
              <w:rPr>
                <w:lang w:val="en-GB"/>
              </w:rPr>
              <w:t>Reports and decisions made as a result of external quality assurance shall be clear, based on published standards, processes and procedures, and made accessible, for purposes of accountability</w:t>
            </w:r>
            <w:r>
              <w:rPr>
                <w:lang w:val="en-GB"/>
              </w:rPr>
              <w:t>.</w:t>
            </w:r>
          </w:p>
        </w:tc>
        <w:tc>
          <w:tcPr>
            <w:tcW w:w="3204" w:type="dxa"/>
          </w:tcPr>
          <w:p w14:paraId="29A62ED5" w14:textId="77777777" w:rsidR="001E084C" w:rsidRPr="001E084C" w:rsidRDefault="001E084C" w:rsidP="00467400">
            <w:pPr>
              <w:tabs>
                <w:tab w:val="left" w:pos="2024"/>
              </w:tabs>
              <w:rPr>
                <w:rFonts w:ascii="Arial" w:hAnsi="Arial" w:cs="Arial"/>
                <w:sz w:val="22"/>
                <w:szCs w:val="22"/>
                <w:lang w:val="en-GB"/>
              </w:rPr>
            </w:pPr>
          </w:p>
        </w:tc>
        <w:tc>
          <w:tcPr>
            <w:tcW w:w="1481" w:type="dxa"/>
          </w:tcPr>
          <w:p w14:paraId="675F694F" w14:textId="77777777" w:rsidR="001E084C" w:rsidRPr="001E084C" w:rsidRDefault="001E084C" w:rsidP="00467400">
            <w:pPr>
              <w:tabs>
                <w:tab w:val="left" w:pos="2024"/>
              </w:tabs>
              <w:rPr>
                <w:rFonts w:ascii="Arial" w:hAnsi="Arial" w:cs="Arial"/>
                <w:sz w:val="22"/>
                <w:szCs w:val="22"/>
                <w:lang w:val="en-GB"/>
              </w:rPr>
            </w:pPr>
          </w:p>
        </w:tc>
      </w:tr>
      <w:tr w:rsidR="001E084C" w:rsidRPr="00775EDD" w14:paraId="3F57759E" w14:textId="77777777" w:rsidTr="0044799E">
        <w:tc>
          <w:tcPr>
            <w:tcW w:w="1980" w:type="dxa"/>
          </w:tcPr>
          <w:p w14:paraId="66343B66" w14:textId="29639A9B" w:rsidR="001E084C" w:rsidRPr="00A205CC" w:rsidRDefault="001E084C" w:rsidP="00467400">
            <w:pPr>
              <w:tabs>
                <w:tab w:val="left" w:pos="2024"/>
              </w:tabs>
            </w:pPr>
            <w:r>
              <w:t>6</w:t>
            </w:r>
          </w:p>
        </w:tc>
        <w:tc>
          <w:tcPr>
            <w:tcW w:w="7285" w:type="dxa"/>
          </w:tcPr>
          <w:p w14:paraId="7CD7ADFE" w14:textId="24287DB7" w:rsidR="001E084C" w:rsidRPr="001E084C" w:rsidRDefault="001E084C" w:rsidP="00885123">
            <w:pPr>
              <w:tabs>
                <w:tab w:val="left" w:pos="2024"/>
              </w:tabs>
              <w:rPr>
                <w:lang w:val="en-GB"/>
              </w:rPr>
            </w:pPr>
            <w:r w:rsidRPr="001E084C">
              <w:rPr>
                <w:lang w:val="en-GB"/>
              </w:rPr>
              <w:t>External quality assurance of institutions and programmes shall be undertaken on a cyclical basis.</w:t>
            </w:r>
          </w:p>
        </w:tc>
        <w:tc>
          <w:tcPr>
            <w:tcW w:w="3204" w:type="dxa"/>
          </w:tcPr>
          <w:p w14:paraId="793AD65E" w14:textId="77777777" w:rsidR="001E084C" w:rsidRPr="001E084C" w:rsidRDefault="001E084C" w:rsidP="00467400">
            <w:pPr>
              <w:tabs>
                <w:tab w:val="left" w:pos="2024"/>
              </w:tabs>
              <w:rPr>
                <w:rFonts w:ascii="Arial" w:hAnsi="Arial" w:cs="Arial"/>
                <w:sz w:val="22"/>
                <w:szCs w:val="22"/>
                <w:lang w:val="en-GB"/>
              </w:rPr>
            </w:pPr>
          </w:p>
        </w:tc>
        <w:tc>
          <w:tcPr>
            <w:tcW w:w="1481" w:type="dxa"/>
          </w:tcPr>
          <w:p w14:paraId="613EBFF8" w14:textId="77777777" w:rsidR="001E084C" w:rsidRPr="001E084C" w:rsidRDefault="001E084C" w:rsidP="00467400">
            <w:pPr>
              <w:tabs>
                <w:tab w:val="left" w:pos="2024"/>
              </w:tabs>
              <w:rPr>
                <w:rFonts w:ascii="Arial" w:hAnsi="Arial" w:cs="Arial"/>
                <w:sz w:val="22"/>
                <w:szCs w:val="22"/>
                <w:lang w:val="en-GB"/>
              </w:rPr>
            </w:pPr>
          </w:p>
        </w:tc>
      </w:tr>
      <w:tr w:rsidR="001E084C" w:rsidRPr="00775EDD" w14:paraId="1CA89F57" w14:textId="77777777" w:rsidTr="0044799E">
        <w:tc>
          <w:tcPr>
            <w:tcW w:w="1980" w:type="dxa"/>
          </w:tcPr>
          <w:p w14:paraId="2FE74318" w14:textId="6D2EEF38" w:rsidR="001E084C" w:rsidRPr="00A205CC" w:rsidRDefault="001E084C" w:rsidP="00467400">
            <w:pPr>
              <w:tabs>
                <w:tab w:val="left" w:pos="2024"/>
              </w:tabs>
            </w:pPr>
            <w:r>
              <w:t>7</w:t>
            </w:r>
          </w:p>
        </w:tc>
        <w:tc>
          <w:tcPr>
            <w:tcW w:w="7285" w:type="dxa"/>
          </w:tcPr>
          <w:p w14:paraId="5605C80F" w14:textId="5D4E6C52" w:rsidR="001E084C" w:rsidRPr="001E084C" w:rsidRDefault="001E084C" w:rsidP="00885123">
            <w:pPr>
              <w:tabs>
                <w:tab w:val="left" w:pos="2024"/>
              </w:tabs>
              <w:rPr>
                <w:lang w:val="en-GB"/>
              </w:rPr>
            </w:pPr>
            <w:r w:rsidRPr="001E084C">
              <w:rPr>
                <w:lang w:val="en-GB"/>
              </w:rPr>
              <w:t>The procedure for lodging complaints and appeals shall be clearly defined and communicated to the institution concerned.</w:t>
            </w:r>
          </w:p>
        </w:tc>
        <w:tc>
          <w:tcPr>
            <w:tcW w:w="3204" w:type="dxa"/>
          </w:tcPr>
          <w:p w14:paraId="36D8C735" w14:textId="77777777" w:rsidR="001E084C" w:rsidRPr="001E084C" w:rsidRDefault="001E084C" w:rsidP="00467400">
            <w:pPr>
              <w:tabs>
                <w:tab w:val="left" w:pos="2024"/>
              </w:tabs>
              <w:rPr>
                <w:rFonts w:ascii="Arial" w:hAnsi="Arial" w:cs="Arial"/>
                <w:sz w:val="22"/>
                <w:szCs w:val="22"/>
                <w:lang w:val="en-GB"/>
              </w:rPr>
            </w:pPr>
          </w:p>
        </w:tc>
        <w:tc>
          <w:tcPr>
            <w:tcW w:w="1481" w:type="dxa"/>
          </w:tcPr>
          <w:p w14:paraId="355F1B57" w14:textId="77777777" w:rsidR="001E084C" w:rsidRPr="001E084C" w:rsidRDefault="001E084C" w:rsidP="00467400">
            <w:pPr>
              <w:tabs>
                <w:tab w:val="left" w:pos="2024"/>
              </w:tabs>
              <w:rPr>
                <w:rFonts w:ascii="Arial" w:hAnsi="Arial" w:cs="Arial"/>
                <w:sz w:val="22"/>
                <w:szCs w:val="22"/>
                <w:lang w:val="en-GB"/>
              </w:rPr>
            </w:pPr>
          </w:p>
        </w:tc>
      </w:tr>
      <w:tr w:rsidR="00755B72" w:rsidRPr="00775EDD" w14:paraId="5C125995" w14:textId="77777777" w:rsidTr="00755B72">
        <w:tc>
          <w:tcPr>
            <w:tcW w:w="13950" w:type="dxa"/>
            <w:gridSpan w:val="4"/>
            <w:shd w:val="clear" w:color="auto" w:fill="D9D9D9" w:themeFill="background1" w:themeFillShade="D9"/>
          </w:tcPr>
          <w:p w14:paraId="1A2A191E" w14:textId="429522B7" w:rsidR="00755B72" w:rsidRPr="001E084C" w:rsidRDefault="00755B72" w:rsidP="00755B72">
            <w:pPr>
              <w:tabs>
                <w:tab w:val="left" w:pos="2024"/>
              </w:tabs>
              <w:spacing w:before="120" w:after="120"/>
              <w:rPr>
                <w:lang w:val="en-GB"/>
              </w:rPr>
            </w:pPr>
            <w:r w:rsidRPr="001E084C">
              <w:rPr>
                <w:lang w:val="en-GB"/>
              </w:rPr>
              <w:lastRenderedPageBreak/>
              <w:t xml:space="preserve">PART C: </w:t>
            </w:r>
            <w:r w:rsidR="00CF349D">
              <w:rPr>
                <w:lang w:val="en-BE"/>
              </w:rPr>
              <w:t xml:space="preserve">INTERNAL QUALITY </w:t>
            </w:r>
            <w:r w:rsidRPr="001E084C">
              <w:rPr>
                <w:lang w:val="en-GB"/>
              </w:rPr>
              <w:t xml:space="preserve">ASSURANCE </w:t>
            </w:r>
            <w:r w:rsidR="00CF349D">
              <w:rPr>
                <w:lang w:val="en-BE"/>
              </w:rPr>
              <w:t>FOR QA</w:t>
            </w:r>
            <w:r w:rsidR="00CD48A3">
              <w:rPr>
                <w:lang w:val="en-BE"/>
              </w:rPr>
              <w:t xml:space="preserve"> AGENCIES</w:t>
            </w:r>
          </w:p>
        </w:tc>
      </w:tr>
      <w:tr w:rsidR="00171AFB" w:rsidRPr="00775EDD" w14:paraId="2306EB04" w14:textId="77777777" w:rsidTr="0044799E">
        <w:tc>
          <w:tcPr>
            <w:tcW w:w="1980" w:type="dxa"/>
          </w:tcPr>
          <w:p w14:paraId="4703801F" w14:textId="74977A41" w:rsidR="00171AFB" w:rsidRPr="00A205CC" w:rsidRDefault="005A675C" w:rsidP="00467400">
            <w:pPr>
              <w:tabs>
                <w:tab w:val="left" w:pos="2024"/>
              </w:tabs>
            </w:pPr>
            <w:r w:rsidRPr="00A205CC">
              <w:t>1</w:t>
            </w:r>
          </w:p>
        </w:tc>
        <w:tc>
          <w:tcPr>
            <w:tcW w:w="7285" w:type="dxa"/>
          </w:tcPr>
          <w:p w14:paraId="6C56FAAD" w14:textId="4C3576D5" w:rsidR="00171AFB" w:rsidRPr="001E084C" w:rsidRDefault="00CF349D" w:rsidP="005A675C">
            <w:pPr>
              <w:tabs>
                <w:tab w:val="left" w:pos="2024"/>
              </w:tabs>
              <w:rPr>
                <w:rFonts w:ascii="Arial" w:hAnsi="Arial" w:cs="Arial"/>
                <w:sz w:val="22"/>
                <w:szCs w:val="22"/>
                <w:lang w:val="en-GB"/>
              </w:rPr>
            </w:pPr>
            <w:r w:rsidRPr="001E084C">
              <w:rPr>
                <w:lang w:val="en-GB"/>
              </w:rPr>
              <w:t>The QAA shall be an autonomous legal entity with clearly defined mandate, scope and powers. It will be recognised as a quality assurance agency at a national/regional level.</w:t>
            </w:r>
          </w:p>
        </w:tc>
        <w:tc>
          <w:tcPr>
            <w:tcW w:w="3204" w:type="dxa"/>
          </w:tcPr>
          <w:p w14:paraId="5FDBC1BF" w14:textId="77777777" w:rsidR="00171AFB" w:rsidRPr="001E084C" w:rsidRDefault="00171AFB" w:rsidP="00467400">
            <w:pPr>
              <w:tabs>
                <w:tab w:val="left" w:pos="2024"/>
              </w:tabs>
              <w:rPr>
                <w:rFonts w:ascii="Arial" w:hAnsi="Arial" w:cs="Arial"/>
                <w:sz w:val="22"/>
                <w:szCs w:val="22"/>
                <w:lang w:val="en-GB"/>
              </w:rPr>
            </w:pPr>
          </w:p>
        </w:tc>
        <w:tc>
          <w:tcPr>
            <w:tcW w:w="1481" w:type="dxa"/>
          </w:tcPr>
          <w:p w14:paraId="0CA4A2D1" w14:textId="77777777" w:rsidR="00171AFB" w:rsidRPr="001E084C" w:rsidRDefault="00171AFB" w:rsidP="00467400">
            <w:pPr>
              <w:tabs>
                <w:tab w:val="left" w:pos="2024"/>
              </w:tabs>
              <w:rPr>
                <w:rFonts w:ascii="Arial" w:hAnsi="Arial" w:cs="Arial"/>
                <w:sz w:val="22"/>
                <w:szCs w:val="22"/>
                <w:lang w:val="en-GB"/>
              </w:rPr>
            </w:pPr>
          </w:p>
        </w:tc>
      </w:tr>
      <w:tr w:rsidR="00171AFB" w:rsidRPr="00775EDD" w14:paraId="2BB4EDDC" w14:textId="77777777" w:rsidTr="0044799E">
        <w:tc>
          <w:tcPr>
            <w:tcW w:w="1980" w:type="dxa"/>
          </w:tcPr>
          <w:p w14:paraId="5B72D00B" w14:textId="3A7BD525" w:rsidR="00171AFB" w:rsidRPr="00A205CC" w:rsidRDefault="00755B72" w:rsidP="00467400">
            <w:pPr>
              <w:tabs>
                <w:tab w:val="left" w:pos="2024"/>
              </w:tabs>
            </w:pPr>
            <w:r w:rsidRPr="00A205CC">
              <w:t>2</w:t>
            </w:r>
          </w:p>
        </w:tc>
        <w:tc>
          <w:tcPr>
            <w:tcW w:w="7285" w:type="dxa"/>
          </w:tcPr>
          <w:p w14:paraId="5EA41CCC" w14:textId="1137378B" w:rsidR="00171AFB" w:rsidRPr="001E084C" w:rsidRDefault="00CF349D" w:rsidP="005F2726">
            <w:pPr>
              <w:tabs>
                <w:tab w:val="left" w:pos="2024"/>
              </w:tabs>
              <w:rPr>
                <w:rFonts w:ascii="Arial" w:hAnsi="Arial" w:cs="Arial"/>
                <w:sz w:val="22"/>
                <w:szCs w:val="22"/>
                <w:lang w:val="en-GB"/>
              </w:rPr>
            </w:pPr>
            <w:r w:rsidRPr="001E084C">
              <w:rPr>
                <w:lang w:val="en-GB"/>
              </w:rPr>
              <w:t>The QAA shall have written and published vision and mission statements or objectives taking the higher education context into account.</w:t>
            </w:r>
          </w:p>
        </w:tc>
        <w:tc>
          <w:tcPr>
            <w:tcW w:w="3204" w:type="dxa"/>
          </w:tcPr>
          <w:p w14:paraId="58F1A00A" w14:textId="77777777" w:rsidR="00171AFB" w:rsidRPr="001E084C" w:rsidRDefault="00171AFB" w:rsidP="00467400">
            <w:pPr>
              <w:tabs>
                <w:tab w:val="left" w:pos="2024"/>
              </w:tabs>
              <w:rPr>
                <w:rFonts w:ascii="Arial" w:hAnsi="Arial" w:cs="Arial"/>
                <w:sz w:val="22"/>
                <w:szCs w:val="22"/>
                <w:lang w:val="en-GB"/>
              </w:rPr>
            </w:pPr>
          </w:p>
        </w:tc>
        <w:tc>
          <w:tcPr>
            <w:tcW w:w="1481" w:type="dxa"/>
          </w:tcPr>
          <w:p w14:paraId="489588FB" w14:textId="77777777" w:rsidR="00171AFB" w:rsidRPr="001E084C" w:rsidRDefault="00171AFB" w:rsidP="00467400">
            <w:pPr>
              <w:tabs>
                <w:tab w:val="left" w:pos="2024"/>
              </w:tabs>
              <w:rPr>
                <w:rFonts w:ascii="Arial" w:hAnsi="Arial" w:cs="Arial"/>
                <w:sz w:val="22"/>
                <w:szCs w:val="22"/>
                <w:lang w:val="en-GB"/>
              </w:rPr>
            </w:pPr>
          </w:p>
        </w:tc>
      </w:tr>
      <w:tr w:rsidR="00171AFB" w:rsidRPr="00775EDD" w14:paraId="42C854C7" w14:textId="77777777" w:rsidTr="0044799E">
        <w:tc>
          <w:tcPr>
            <w:tcW w:w="1980" w:type="dxa"/>
          </w:tcPr>
          <w:p w14:paraId="5715E13E" w14:textId="6D53D46E" w:rsidR="00171AFB" w:rsidRPr="00A205CC" w:rsidRDefault="00755B72" w:rsidP="00467400">
            <w:pPr>
              <w:tabs>
                <w:tab w:val="left" w:pos="2024"/>
              </w:tabs>
            </w:pPr>
            <w:r w:rsidRPr="00A205CC">
              <w:t>3</w:t>
            </w:r>
          </w:p>
        </w:tc>
        <w:tc>
          <w:tcPr>
            <w:tcW w:w="7285" w:type="dxa"/>
          </w:tcPr>
          <w:p w14:paraId="7D6EFCEF" w14:textId="3C7C03EB" w:rsidR="00171AFB" w:rsidRPr="001E084C" w:rsidRDefault="0044799E" w:rsidP="005A675C">
            <w:pPr>
              <w:tabs>
                <w:tab w:val="left" w:pos="2024"/>
              </w:tabs>
              <w:rPr>
                <w:rFonts w:ascii="Arial" w:hAnsi="Arial" w:cs="Arial"/>
                <w:sz w:val="22"/>
                <w:szCs w:val="22"/>
                <w:lang w:val="en-GB"/>
              </w:rPr>
            </w:pPr>
            <w:r w:rsidRPr="001E084C">
              <w:rPr>
                <w:lang w:val="en-GB"/>
              </w:rPr>
              <w:t>The QAA shall have clearly defined structures that ensure sound and ethical governance and management, including good practices of quality assurance that support its mission and legal mandate.</w:t>
            </w:r>
          </w:p>
        </w:tc>
        <w:tc>
          <w:tcPr>
            <w:tcW w:w="3204" w:type="dxa"/>
          </w:tcPr>
          <w:p w14:paraId="25EA4EDE" w14:textId="77777777" w:rsidR="00171AFB" w:rsidRPr="001E084C" w:rsidRDefault="00171AFB" w:rsidP="00467400">
            <w:pPr>
              <w:tabs>
                <w:tab w:val="left" w:pos="2024"/>
              </w:tabs>
              <w:rPr>
                <w:rFonts w:ascii="Arial" w:hAnsi="Arial" w:cs="Arial"/>
                <w:sz w:val="22"/>
                <w:szCs w:val="22"/>
                <w:lang w:val="en-GB"/>
              </w:rPr>
            </w:pPr>
          </w:p>
        </w:tc>
        <w:tc>
          <w:tcPr>
            <w:tcW w:w="1481" w:type="dxa"/>
          </w:tcPr>
          <w:p w14:paraId="28E05FCF" w14:textId="77777777" w:rsidR="00171AFB" w:rsidRPr="001E084C" w:rsidRDefault="00171AFB" w:rsidP="00467400">
            <w:pPr>
              <w:tabs>
                <w:tab w:val="left" w:pos="2024"/>
              </w:tabs>
              <w:rPr>
                <w:rFonts w:ascii="Arial" w:hAnsi="Arial" w:cs="Arial"/>
                <w:sz w:val="22"/>
                <w:szCs w:val="22"/>
                <w:lang w:val="en-GB"/>
              </w:rPr>
            </w:pPr>
          </w:p>
        </w:tc>
      </w:tr>
      <w:tr w:rsidR="000F5AC3" w:rsidRPr="00775EDD" w14:paraId="4E77BE12" w14:textId="77777777" w:rsidTr="0044799E">
        <w:tc>
          <w:tcPr>
            <w:tcW w:w="1980" w:type="dxa"/>
          </w:tcPr>
          <w:p w14:paraId="51F0EB76" w14:textId="3A5BAA75" w:rsidR="000F5AC3" w:rsidRPr="00A205CC" w:rsidRDefault="00755B72" w:rsidP="00467400">
            <w:pPr>
              <w:tabs>
                <w:tab w:val="left" w:pos="2024"/>
              </w:tabs>
            </w:pPr>
            <w:r w:rsidRPr="00A205CC">
              <w:t>4</w:t>
            </w:r>
          </w:p>
        </w:tc>
        <w:tc>
          <w:tcPr>
            <w:tcW w:w="7285" w:type="dxa"/>
          </w:tcPr>
          <w:p w14:paraId="2285EA7C" w14:textId="07FCC3CA" w:rsidR="000F5AC3" w:rsidRPr="001E084C" w:rsidRDefault="0044799E" w:rsidP="005A675C">
            <w:pPr>
              <w:tabs>
                <w:tab w:val="left" w:pos="2024"/>
              </w:tabs>
              <w:rPr>
                <w:rFonts w:ascii="Arial" w:hAnsi="Arial" w:cs="Arial"/>
                <w:sz w:val="22"/>
                <w:szCs w:val="22"/>
                <w:lang w:val="en-GB"/>
              </w:rPr>
            </w:pPr>
            <w:r w:rsidRPr="001E084C">
              <w:rPr>
                <w:lang w:val="en-GB"/>
              </w:rPr>
              <w:t>The QAA shall be independent in its operations, outcomes, judgements and decisions.</w:t>
            </w:r>
          </w:p>
        </w:tc>
        <w:tc>
          <w:tcPr>
            <w:tcW w:w="3204" w:type="dxa"/>
          </w:tcPr>
          <w:p w14:paraId="06814EA6" w14:textId="77777777" w:rsidR="000F5AC3" w:rsidRPr="001E084C" w:rsidRDefault="000F5AC3" w:rsidP="00467400">
            <w:pPr>
              <w:tabs>
                <w:tab w:val="left" w:pos="2024"/>
              </w:tabs>
              <w:rPr>
                <w:rFonts w:ascii="Arial" w:hAnsi="Arial" w:cs="Arial"/>
                <w:sz w:val="22"/>
                <w:szCs w:val="22"/>
                <w:lang w:val="en-GB"/>
              </w:rPr>
            </w:pPr>
          </w:p>
        </w:tc>
        <w:tc>
          <w:tcPr>
            <w:tcW w:w="1481" w:type="dxa"/>
          </w:tcPr>
          <w:p w14:paraId="29B2E13E" w14:textId="77777777" w:rsidR="000F5AC3" w:rsidRPr="001E084C" w:rsidRDefault="000F5AC3" w:rsidP="00467400">
            <w:pPr>
              <w:tabs>
                <w:tab w:val="left" w:pos="2024"/>
              </w:tabs>
              <w:rPr>
                <w:rFonts w:ascii="Arial" w:hAnsi="Arial" w:cs="Arial"/>
                <w:sz w:val="22"/>
                <w:szCs w:val="22"/>
                <w:lang w:val="en-GB"/>
              </w:rPr>
            </w:pPr>
          </w:p>
        </w:tc>
      </w:tr>
      <w:tr w:rsidR="001E084C" w:rsidRPr="00775EDD" w14:paraId="1206239F" w14:textId="77777777" w:rsidTr="0044799E">
        <w:tc>
          <w:tcPr>
            <w:tcW w:w="1980" w:type="dxa"/>
          </w:tcPr>
          <w:p w14:paraId="46245A54" w14:textId="310FB3DD" w:rsidR="001E084C" w:rsidRPr="00A205CC" w:rsidRDefault="001E084C" w:rsidP="00467400">
            <w:pPr>
              <w:tabs>
                <w:tab w:val="left" w:pos="2024"/>
              </w:tabs>
            </w:pPr>
            <w:r>
              <w:t>5</w:t>
            </w:r>
          </w:p>
        </w:tc>
        <w:tc>
          <w:tcPr>
            <w:tcW w:w="7285" w:type="dxa"/>
          </w:tcPr>
          <w:p w14:paraId="7BAA2FD7" w14:textId="3C93C2FD" w:rsidR="001E084C" w:rsidRPr="001E084C" w:rsidRDefault="001E084C" w:rsidP="005A675C">
            <w:pPr>
              <w:tabs>
                <w:tab w:val="left" w:pos="2024"/>
              </w:tabs>
              <w:rPr>
                <w:lang w:val="en-GB"/>
              </w:rPr>
            </w:pPr>
            <w:r w:rsidRPr="001E084C">
              <w:rPr>
                <w:lang w:val="en-GB"/>
              </w:rPr>
              <w:t>The QAA shall undertake its quality assurance activities in accordance with the standards and guidelines articulated in Part B of the ASG-QA.</w:t>
            </w:r>
          </w:p>
        </w:tc>
        <w:tc>
          <w:tcPr>
            <w:tcW w:w="3204" w:type="dxa"/>
          </w:tcPr>
          <w:p w14:paraId="4AFA3774" w14:textId="77777777" w:rsidR="001E084C" w:rsidRPr="001E084C" w:rsidRDefault="001E084C" w:rsidP="00467400">
            <w:pPr>
              <w:tabs>
                <w:tab w:val="left" w:pos="2024"/>
              </w:tabs>
              <w:rPr>
                <w:rFonts w:ascii="Arial" w:hAnsi="Arial" w:cs="Arial"/>
                <w:sz w:val="22"/>
                <w:szCs w:val="22"/>
                <w:lang w:val="en-GB"/>
              </w:rPr>
            </w:pPr>
          </w:p>
        </w:tc>
        <w:tc>
          <w:tcPr>
            <w:tcW w:w="1481" w:type="dxa"/>
          </w:tcPr>
          <w:p w14:paraId="7C2E29CA" w14:textId="77777777" w:rsidR="001E084C" w:rsidRPr="001E084C" w:rsidRDefault="001E084C" w:rsidP="00467400">
            <w:pPr>
              <w:tabs>
                <w:tab w:val="left" w:pos="2024"/>
              </w:tabs>
              <w:rPr>
                <w:rFonts w:ascii="Arial" w:hAnsi="Arial" w:cs="Arial"/>
                <w:sz w:val="22"/>
                <w:szCs w:val="22"/>
                <w:lang w:val="en-GB"/>
              </w:rPr>
            </w:pPr>
          </w:p>
        </w:tc>
      </w:tr>
      <w:tr w:rsidR="001E084C" w:rsidRPr="00775EDD" w14:paraId="7711F975" w14:textId="77777777" w:rsidTr="0044799E">
        <w:tc>
          <w:tcPr>
            <w:tcW w:w="1980" w:type="dxa"/>
          </w:tcPr>
          <w:p w14:paraId="1FC2FD5D" w14:textId="4273EE44" w:rsidR="001E084C" w:rsidRPr="00A205CC" w:rsidRDefault="001E084C" w:rsidP="00467400">
            <w:pPr>
              <w:tabs>
                <w:tab w:val="left" w:pos="2024"/>
              </w:tabs>
            </w:pPr>
            <w:r>
              <w:t>6</w:t>
            </w:r>
          </w:p>
        </w:tc>
        <w:tc>
          <w:tcPr>
            <w:tcW w:w="7285" w:type="dxa"/>
          </w:tcPr>
          <w:p w14:paraId="167E9B40" w14:textId="3E2862AB" w:rsidR="001E084C" w:rsidRPr="001E084C" w:rsidRDefault="001E084C" w:rsidP="005A675C">
            <w:pPr>
              <w:tabs>
                <w:tab w:val="left" w:pos="2024"/>
              </w:tabs>
              <w:rPr>
                <w:lang w:val="en-GB"/>
              </w:rPr>
            </w:pPr>
            <w:r w:rsidRPr="001E084C">
              <w:rPr>
                <w:lang w:val="en-GB"/>
              </w:rPr>
              <w:t>The QAA shall have in place policies and processes for its own internal quality assurance related to defining, assuring and enhancing the quality and integrity of its activities.</w:t>
            </w:r>
          </w:p>
        </w:tc>
        <w:tc>
          <w:tcPr>
            <w:tcW w:w="3204" w:type="dxa"/>
          </w:tcPr>
          <w:p w14:paraId="12169E26" w14:textId="77777777" w:rsidR="001E084C" w:rsidRPr="001E084C" w:rsidRDefault="001E084C" w:rsidP="00467400">
            <w:pPr>
              <w:tabs>
                <w:tab w:val="left" w:pos="2024"/>
              </w:tabs>
              <w:rPr>
                <w:rFonts w:ascii="Arial" w:hAnsi="Arial" w:cs="Arial"/>
                <w:sz w:val="22"/>
                <w:szCs w:val="22"/>
                <w:lang w:val="en-GB"/>
              </w:rPr>
            </w:pPr>
          </w:p>
        </w:tc>
        <w:tc>
          <w:tcPr>
            <w:tcW w:w="1481" w:type="dxa"/>
          </w:tcPr>
          <w:p w14:paraId="08BDDE9E" w14:textId="77777777" w:rsidR="001E084C" w:rsidRPr="001E084C" w:rsidRDefault="001E084C" w:rsidP="00467400">
            <w:pPr>
              <w:tabs>
                <w:tab w:val="left" w:pos="2024"/>
              </w:tabs>
              <w:rPr>
                <w:rFonts w:ascii="Arial" w:hAnsi="Arial" w:cs="Arial"/>
                <w:sz w:val="22"/>
                <w:szCs w:val="22"/>
                <w:lang w:val="en-GB"/>
              </w:rPr>
            </w:pPr>
          </w:p>
        </w:tc>
      </w:tr>
      <w:tr w:rsidR="000F5AC3" w:rsidRPr="00775EDD" w14:paraId="1CD3430A" w14:textId="77777777" w:rsidTr="0044799E">
        <w:tc>
          <w:tcPr>
            <w:tcW w:w="1980" w:type="dxa"/>
          </w:tcPr>
          <w:p w14:paraId="21E8CB2C" w14:textId="48616139" w:rsidR="000F5AC3" w:rsidRPr="00A205CC" w:rsidRDefault="00755B72" w:rsidP="00467400">
            <w:pPr>
              <w:tabs>
                <w:tab w:val="left" w:pos="2024"/>
              </w:tabs>
            </w:pPr>
            <w:r w:rsidRPr="00A205CC">
              <w:t>7</w:t>
            </w:r>
          </w:p>
        </w:tc>
        <w:tc>
          <w:tcPr>
            <w:tcW w:w="7285" w:type="dxa"/>
          </w:tcPr>
          <w:p w14:paraId="7AC71193" w14:textId="70E7A6B7" w:rsidR="000F5AC3" w:rsidRPr="001E084C" w:rsidRDefault="0044799E" w:rsidP="005A675C">
            <w:pPr>
              <w:tabs>
                <w:tab w:val="left" w:pos="2024"/>
              </w:tabs>
              <w:rPr>
                <w:rFonts w:ascii="Arial" w:hAnsi="Arial" w:cs="Arial"/>
                <w:sz w:val="22"/>
                <w:szCs w:val="22"/>
                <w:lang w:val="en-GB"/>
              </w:rPr>
            </w:pPr>
            <w:r w:rsidRPr="001E084C">
              <w:rPr>
                <w:lang w:val="en-GB"/>
              </w:rPr>
              <w:t>The QAA shall have adequate and appropriate human, financial and material resources to carry out its QA mandate effectively and efficiently.</w:t>
            </w:r>
          </w:p>
        </w:tc>
        <w:tc>
          <w:tcPr>
            <w:tcW w:w="3204" w:type="dxa"/>
          </w:tcPr>
          <w:p w14:paraId="41FA3641" w14:textId="77777777" w:rsidR="000F5AC3" w:rsidRPr="001E084C" w:rsidRDefault="000F5AC3" w:rsidP="00467400">
            <w:pPr>
              <w:tabs>
                <w:tab w:val="left" w:pos="2024"/>
              </w:tabs>
              <w:rPr>
                <w:rFonts w:ascii="Arial" w:hAnsi="Arial" w:cs="Arial"/>
                <w:sz w:val="22"/>
                <w:szCs w:val="22"/>
                <w:lang w:val="en-GB"/>
              </w:rPr>
            </w:pPr>
          </w:p>
        </w:tc>
        <w:tc>
          <w:tcPr>
            <w:tcW w:w="1481" w:type="dxa"/>
          </w:tcPr>
          <w:p w14:paraId="37002D36" w14:textId="77777777" w:rsidR="000F5AC3" w:rsidRPr="001E084C" w:rsidRDefault="000F5AC3" w:rsidP="00467400">
            <w:pPr>
              <w:tabs>
                <w:tab w:val="left" w:pos="2024"/>
              </w:tabs>
              <w:rPr>
                <w:rFonts w:ascii="Arial" w:hAnsi="Arial" w:cs="Arial"/>
                <w:sz w:val="22"/>
                <w:szCs w:val="22"/>
                <w:lang w:val="en-GB"/>
              </w:rPr>
            </w:pPr>
          </w:p>
        </w:tc>
      </w:tr>
      <w:tr w:rsidR="001E084C" w:rsidRPr="00775EDD" w14:paraId="2936A975" w14:textId="77777777" w:rsidTr="0044799E">
        <w:tc>
          <w:tcPr>
            <w:tcW w:w="1980" w:type="dxa"/>
          </w:tcPr>
          <w:p w14:paraId="5AAAC4BD" w14:textId="74887D64" w:rsidR="001E084C" w:rsidRPr="00A205CC" w:rsidRDefault="001E084C" w:rsidP="00467400">
            <w:pPr>
              <w:tabs>
                <w:tab w:val="left" w:pos="2024"/>
              </w:tabs>
            </w:pPr>
            <w:r>
              <w:t>8</w:t>
            </w:r>
          </w:p>
        </w:tc>
        <w:tc>
          <w:tcPr>
            <w:tcW w:w="7285" w:type="dxa"/>
          </w:tcPr>
          <w:p w14:paraId="644A64B1" w14:textId="233CF2D7" w:rsidR="001E084C" w:rsidRPr="00B2687D" w:rsidRDefault="00B2687D" w:rsidP="005A675C">
            <w:pPr>
              <w:tabs>
                <w:tab w:val="left" w:pos="2024"/>
              </w:tabs>
              <w:rPr>
                <w:lang w:val="en-GB"/>
              </w:rPr>
            </w:pPr>
            <w:r w:rsidRPr="00B2687D">
              <w:rPr>
                <w:lang w:val="en-GB"/>
              </w:rPr>
              <w:t>The QAA shall promote and participate in international initiatives, workshops and conferences, and collaborate with relevant bodies on QA to exchange and share experiences and best practices.</w:t>
            </w:r>
          </w:p>
        </w:tc>
        <w:tc>
          <w:tcPr>
            <w:tcW w:w="3204" w:type="dxa"/>
          </w:tcPr>
          <w:p w14:paraId="1505D8EF" w14:textId="77777777" w:rsidR="001E084C" w:rsidRPr="001E084C" w:rsidRDefault="001E084C" w:rsidP="00467400">
            <w:pPr>
              <w:tabs>
                <w:tab w:val="left" w:pos="2024"/>
              </w:tabs>
              <w:rPr>
                <w:rFonts w:ascii="Arial" w:hAnsi="Arial" w:cs="Arial"/>
                <w:sz w:val="22"/>
                <w:szCs w:val="22"/>
                <w:lang w:val="en-GB"/>
              </w:rPr>
            </w:pPr>
          </w:p>
        </w:tc>
        <w:tc>
          <w:tcPr>
            <w:tcW w:w="1481" w:type="dxa"/>
          </w:tcPr>
          <w:p w14:paraId="1C5FFB41" w14:textId="77777777" w:rsidR="001E084C" w:rsidRPr="001E084C" w:rsidRDefault="001E084C" w:rsidP="00467400">
            <w:pPr>
              <w:tabs>
                <w:tab w:val="left" w:pos="2024"/>
              </w:tabs>
              <w:rPr>
                <w:rFonts w:ascii="Arial" w:hAnsi="Arial" w:cs="Arial"/>
                <w:sz w:val="22"/>
                <w:szCs w:val="22"/>
                <w:lang w:val="en-GB"/>
              </w:rPr>
            </w:pPr>
          </w:p>
        </w:tc>
      </w:tr>
      <w:tr w:rsidR="001E084C" w:rsidRPr="00775EDD" w14:paraId="793F932B" w14:textId="77777777" w:rsidTr="0044799E">
        <w:tc>
          <w:tcPr>
            <w:tcW w:w="1980" w:type="dxa"/>
          </w:tcPr>
          <w:p w14:paraId="5C66EA4F" w14:textId="333F6B9A" w:rsidR="001E084C" w:rsidRPr="00A205CC" w:rsidRDefault="001E084C" w:rsidP="00467400">
            <w:pPr>
              <w:tabs>
                <w:tab w:val="left" w:pos="2024"/>
              </w:tabs>
            </w:pPr>
            <w:r>
              <w:t>9</w:t>
            </w:r>
          </w:p>
        </w:tc>
        <w:tc>
          <w:tcPr>
            <w:tcW w:w="7285" w:type="dxa"/>
          </w:tcPr>
          <w:p w14:paraId="7337C857" w14:textId="0EBF75AC" w:rsidR="001E084C" w:rsidRPr="00B2687D" w:rsidRDefault="00B2687D" w:rsidP="005A675C">
            <w:pPr>
              <w:tabs>
                <w:tab w:val="left" w:pos="2024"/>
              </w:tabs>
              <w:rPr>
                <w:lang w:val="en-GB"/>
              </w:rPr>
            </w:pPr>
            <w:r w:rsidRPr="00B2687D">
              <w:rPr>
                <w:lang w:val="en-GB"/>
              </w:rPr>
              <w:t>The QAA shall undergo periodic internal and external reviews for continuous improvement</w:t>
            </w:r>
            <w:r>
              <w:rPr>
                <w:lang w:val="en-GB"/>
              </w:rPr>
              <w:t>.</w:t>
            </w:r>
          </w:p>
        </w:tc>
        <w:tc>
          <w:tcPr>
            <w:tcW w:w="3204" w:type="dxa"/>
          </w:tcPr>
          <w:p w14:paraId="3E0DA42C" w14:textId="77777777" w:rsidR="001E084C" w:rsidRPr="001E084C" w:rsidRDefault="001E084C" w:rsidP="00467400">
            <w:pPr>
              <w:tabs>
                <w:tab w:val="left" w:pos="2024"/>
              </w:tabs>
              <w:rPr>
                <w:rFonts w:ascii="Arial" w:hAnsi="Arial" w:cs="Arial"/>
                <w:sz w:val="22"/>
                <w:szCs w:val="22"/>
                <w:lang w:val="en-GB"/>
              </w:rPr>
            </w:pPr>
          </w:p>
        </w:tc>
        <w:tc>
          <w:tcPr>
            <w:tcW w:w="1481" w:type="dxa"/>
          </w:tcPr>
          <w:p w14:paraId="2C5FFB7C" w14:textId="77777777" w:rsidR="001E084C" w:rsidRPr="001E084C" w:rsidRDefault="001E084C" w:rsidP="00467400">
            <w:pPr>
              <w:tabs>
                <w:tab w:val="left" w:pos="2024"/>
              </w:tabs>
              <w:rPr>
                <w:rFonts w:ascii="Arial" w:hAnsi="Arial" w:cs="Arial"/>
                <w:sz w:val="22"/>
                <w:szCs w:val="22"/>
                <w:lang w:val="en-GB"/>
              </w:rPr>
            </w:pPr>
          </w:p>
        </w:tc>
      </w:tr>
    </w:tbl>
    <w:p w14:paraId="134EE6F0" w14:textId="77777777" w:rsidR="00F137C3" w:rsidRPr="001E084C" w:rsidRDefault="00F137C3" w:rsidP="00467400">
      <w:pPr>
        <w:tabs>
          <w:tab w:val="left" w:pos="2024"/>
        </w:tabs>
        <w:rPr>
          <w:lang w:val="en-GB"/>
        </w:rPr>
      </w:pPr>
    </w:p>
    <w:sectPr w:rsidR="00F137C3" w:rsidRPr="001E084C" w:rsidSect="00A205CC">
      <w:headerReference w:type="default" r:id="rId7"/>
      <w:footerReference w:type="even" r:id="rId8"/>
      <w:footerReference w:type="default" r:id="rId9"/>
      <w:pgSz w:w="16840" w:h="11900" w:orient="landscape"/>
      <w:pgMar w:top="219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32582" w14:textId="77777777" w:rsidR="005703AA" w:rsidRDefault="005703AA" w:rsidP="00BB3123">
      <w:r>
        <w:separator/>
      </w:r>
    </w:p>
  </w:endnote>
  <w:endnote w:type="continuationSeparator" w:id="0">
    <w:p w14:paraId="1C5C2575" w14:textId="77777777" w:rsidR="005703AA" w:rsidRDefault="005703AA" w:rsidP="00BB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altName w:val="Gill Sans"/>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05670532"/>
      <w:docPartObj>
        <w:docPartGallery w:val="Page Numbers (Bottom of Page)"/>
        <w:docPartUnique/>
      </w:docPartObj>
    </w:sdtPr>
    <w:sdtContent>
      <w:p w14:paraId="233F1314" w14:textId="77777777" w:rsidR="00467400" w:rsidRDefault="00467400" w:rsidP="00C337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CBB8FD" w14:textId="77777777" w:rsidR="002B460C" w:rsidRDefault="002B460C" w:rsidP="004674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189503"/>
      <w:docPartObj>
        <w:docPartGallery w:val="Page Numbers (Bottom of Page)"/>
        <w:docPartUnique/>
      </w:docPartObj>
    </w:sdtPr>
    <w:sdtEndPr>
      <w:rPr>
        <w:noProof/>
      </w:rPr>
    </w:sdtEndPr>
    <w:sdtContent>
      <w:p w14:paraId="7EA60575" w14:textId="3CD7A784" w:rsidR="00BB3123" w:rsidRPr="00414B9E" w:rsidRDefault="00414B9E" w:rsidP="00414B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5070F" w14:textId="77777777" w:rsidR="005703AA" w:rsidRDefault="005703AA" w:rsidP="00BB3123">
      <w:r>
        <w:separator/>
      </w:r>
    </w:p>
  </w:footnote>
  <w:footnote w:type="continuationSeparator" w:id="0">
    <w:p w14:paraId="58D6B9B5" w14:textId="77777777" w:rsidR="005703AA" w:rsidRDefault="005703AA" w:rsidP="00BB3123">
      <w:r>
        <w:continuationSeparator/>
      </w:r>
    </w:p>
  </w:footnote>
  <w:footnote w:id="1">
    <w:p w14:paraId="45F322FC" w14:textId="25B839C9" w:rsidR="00881CBF" w:rsidRPr="00D41681" w:rsidRDefault="00881CBF">
      <w:pPr>
        <w:pStyle w:val="FootnoteText"/>
        <w:rPr>
          <w:lang w:val="en-BE"/>
        </w:rPr>
      </w:pPr>
      <w:r>
        <w:rPr>
          <w:rStyle w:val="FootnoteReference"/>
        </w:rPr>
        <w:footnoteRef/>
      </w:r>
      <w:r w:rsidRPr="001E084C">
        <w:rPr>
          <w:lang w:val="en-GB"/>
        </w:rPr>
        <w:t xml:space="preserve"> </w:t>
      </w:r>
      <w:r w:rsidR="00CF349D">
        <w:rPr>
          <w:lang w:val="en-BE"/>
        </w:rPr>
        <w:t>Available here</w:t>
      </w:r>
      <w:r w:rsidRPr="00CF349D">
        <w:rPr>
          <w:lang w:val="en-US"/>
        </w:rPr>
        <w:t xml:space="preserve">: </w:t>
      </w:r>
      <w:hyperlink r:id="rId1" w:history="1">
        <w:r w:rsidR="00CF349D" w:rsidRPr="00AC34AD">
          <w:rPr>
            <w:rStyle w:val="Hyperlink"/>
            <w:lang w:val="en-BE"/>
          </w:rPr>
          <w:t>https://haqaa2.obsglob.org/wp-content/uploads/2020/06/ASG-QA_Manual_en_09.FINALE-with-License-1.pdf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2454A" w14:textId="3AEB733D" w:rsidR="00FB1413" w:rsidRDefault="001E084C" w:rsidP="00FB1413">
    <w:pPr>
      <w:pStyle w:val="Header"/>
      <w:ind w:right="-1000"/>
      <w:jc w:val="right"/>
      <w:rPr>
        <w:rFonts w:eastAsia="Arial Unicode MS"/>
        <w:noProof/>
        <w:color w:val="404040" w:themeColor="text1" w:themeTint="BF"/>
        <w:sz w:val="16"/>
        <w:szCs w:val="16"/>
        <w:lang w:val="en-US"/>
      </w:rPr>
    </w:pPr>
    <w:r>
      <w:rPr>
        <w:noProof/>
      </w:rPr>
      <w:drawing>
        <wp:anchor distT="0" distB="0" distL="0" distR="0" simplePos="0" relativeHeight="251659264" behindDoc="0" locked="0" layoutInCell="1" allowOverlap="1" wp14:anchorId="1A89C40C" wp14:editId="71182D3F">
          <wp:simplePos x="0" y="0"/>
          <wp:positionH relativeFrom="page">
            <wp:align>right</wp:align>
          </wp:positionH>
          <wp:positionV relativeFrom="page">
            <wp:align>top</wp:align>
          </wp:positionV>
          <wp:extent cx="10687050" cy="781022"/>
          <wp:effectExtent l="0" t="0" r="0" b="63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0687050" cy="781022"/>
                  </a:xfrm>
                  <a:prstGeom prst="rect">
                    <a:avLst/>
                  </a:prstGeom>
                </pic:spPr>
              </pic:pic>
            </a:graphicData>
          </a:graphic>
          <wp14:sizeRelH relativeFrom="margin">
            <wp14:pctWidth>0</wp14:pctWidth>
          </wp14:sizeRelH>
        </wp:anchor>
      </w:drawing>
    </w:r>
  </w:p>
  <w:p w14:paraId="0FAE864B" w14:textId="4B69FFC9" w:rsidR="00BB3123" w:rsidRDefault="00BB3123">
    <w:pPr>
      <w:pStyle w:val="Header"/>
    </w:pPr>
  </w:p>
  <w:p w14:paraId="158527BA" w14:textId="694E4C2F" w:rsidR="00414B9E" w:rsidRDefault="001E084C">
    <w:pPr>
      <w:pStyle w:val="Header"/>
    </w:pPr>
    <w:r>
      <w:rPr>
        <w:rFonts w:ascii="Montserrat" w:hAnsi="Montserrat"/>
        <w:noProof/>
        <w:color w:val="4472C4" w:themeColor="accent1"/>
        <w:kern w:val="2"/>
        <w:lang w:val="en-GB"/>
        <w14:ligatures w14:val="standardContextual"/>
      </w:rPr>
      <w:drawing>
        <wp:anchor distT="0" distB="0" distL="114300" distR="114300" simplePos="0" relativeHeight="251661312" behindDoc="1" locked="0" layoutInCell="1" allowOverlap="1" wp14:anchorId="2E407E36" wp14:editId="3D8DCF4C">
          <wp:simplePos x="0" y="0"/>
          <wp:positionH relativeFrom="margin">
            <wp:posOffset>6826250</wp:posOffset>
          </wp:positionH>
          <wp:positionV relativeFrom="paragraph">
            <wp:posOffset>102870</wp:posOffset>
          </wp:positionV>
          <wp:extent cx="2028825" cy="592455"/>
          <wp:effectExtent l="0" t="0" r="9525" b="0"/>
          <wp:wrapNone/>
          <wp:docPr id="7421831" name="Imagen 2"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831" name="Imagen 2" descr="Imagen que contiene Forma&#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28825" cy="5924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FE7765E" wp14:editId="1A967FF4">
          <wp:simplePos x="0" y="0"/>
          <wp:positionH relativeFrom="margin">
            <wp:align>left</wp:align>
          </wp:positionH>
          <wp:positionV relativeFrom="paragraph">
            <wp:posOffset>163195</wp:posOffset>
          </wp:positionV>
          <wp:extent cx="1524000" cy="475024"/>
          <wp:effectExtent l="0" t="0" r="0" b="1270"/>
          <wp:wrapNone/>
          <wp:docPr id="1130049080" name="Imagen 1130049080"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19375" name="Imagen 1" descr="Un dibujo de una cara feliz&#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1524000" cy="47502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23"/>
    <w:rsid w:val="000A47C4"/>
    <w:rsid w:val="000F5AC3"/>
    <w:rsid w:val="00151711"/>
    <w:rsid w:val="00171AFB"/>
    <w:rsid w:val="001E084C"/>
    <w:rsid w:val="001E1150"/>
    <w:rsid w:val="001F5F6E"/>
    <w:rsid w:val="00274899"/>
    <w:rsid w:val="00280578"/>
    <w:rsid w:val="002A3D66"/>
    <w:rsid w:val="002B460C"/>
    <w:rsid w:val="002E377B"/>
    <w:rsid w:val="003139BB"/>
    <w:rsid w:val="00336F7F"/>
    <w:rsid w:val="003D289C"/>
    <w:rsid w:val="003D4ED1"/>
    <w:rsid w:val="00414B9E"/>
    <w:rsid w:val="00433273"/>
    <w:rsid w:val="0044799E"/>
    <w:rsid w:val="0045165D"/>
    <w:rsid w:val="00467400"/>
    <w:rsid w:val="004E26AA"/>
    <w:rsid w:val="005613FB"/>
    <w:rsid w:val="00563145"/>
    <w:rsid w:val="00563374"/>
    <w:rsid w:val="005703AA"/>
    <w:rsid w:val="005A5239"/>
    <w:rsid w:val="005A60F3"/>
    <w:rsid w:val="005A675C"/>
    <w:rsid w:val="005F2726"/>
    <w:rsid w:val="006055BA"/>
    <w:rsid w:val="00650457"/>
    <w:rsid w:val="00682AA8"/>
    <w:rsid w:val="006E4EC7"/>
    <w:rsid w:val="00755B72"/>
    <w:rsid w:val="00771598"/>
    <w:rsid w:val="00775EDD"/>
    <w:rsid w:val="007A6339"/>
    <w:rsid w:val="00820ED8"/>
    <w:rsid w:val="00881CBF"/>
    <w:rsid w:val="00885123"/>
    <w:rsid w:val="008C7952"/>
    <w:rsid w:val="009D4A23"/>
    <w:rsid w:val="009E3340"/>
    <w:rsid w:val="00A205CC"/>
    <w:rsid w:val="00A40B4B"/>
    <w:rsid w:val="00A62C00"/>
    <w:rsid w:val="00AC34AD"/>
    <w:rsid w:val="00AD57C1"/>
    <w:rsid w:val="00AE2577"/>
    <w:rsid w:val="00B2687D"/>
    <w:rsid w:val="00B96EB5"/>
    <w:rsid w:val="00BA490B"/>
    <w:rsid w:val="00BB3123"/>
    <w:rsid w:val="00BC7A37"/>
    <w:rsid w:val="00BD24F9"/>
    <w:rsid w:val="00C56E8C"/>
    <w:rsid w:val="00C903CF"/>
    <w:rsid w:val="00C977E1"/>
    <w:rsid w:val="00CC718D"/>
    <w:rsid w:val="00CD48A3"/>
    <w:rsid w:val="00CE416A"/>
    <w:rsid w:val="00CF349D"/>
    <w:rsid w:val="00D41681"/>
    <w:rsid w:val="00D64E8D"/>
    <w:rsid w:val="00DA3BBC"/>
    <w:rsid w:val="00DD17F4"/>
    <w:rsid w:val="00DD2CF4"/>
    <w:rsid w:val="00E11158"/>
    <w:rsid w:val="00E11F6A"/>
    <w:rsid w:val="00E47B36"/>
    <w:rsid w:val="00E667AC"/>
    <w:rsid w:val="00F03853"/>
    <w:rsid w:val="00F0576A"/>
    <w:rsid w:val="00F137C3"/>
    <w:rsid w:val="00FB14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FEDFB"/>
  <w15:chartTrackingRefBased/>
  <w15:docId w15:val="{C6444C4A-7CCD-7D48-8B6D-A50ECC43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123"/>
    <w:pPr>
      <w:tabs>
        <w:tab w:val="center" w:pos="4536"/>
        <w:tab w:val="right" w:pos="9072"/>
      </w:tabs>
    </w:pPr>
  </w:style>
  <w:style w:type="character" w:customStyle="1" w:styleId="HeaderChar">
    <w:name w:val="Header Char"/>
    <w:basedOn w:val="DefaultParagraphFont"/>
    <w:link w:val="Header"/>
    <w:uiPriority w:val="99"/>
    <w:rsid w:val="00BB3123"/>
  </w:style>
  <w:style w:type="paragraph" w:styleId="Footer">
    <w:name w:val="footer"/>
    <w:basedOn w:val="Normal"/>
    <w:link w:val="FooterChar"/>
    <w:uiPriority w:val="99"/>
    <w:unhideWhenUsed/>
    <w:rsid w:val="00BB3123"/>
    <w:pPr>
      <w:tabs>
        <w:tab w:val="center" w:pos="4536"/>
        <w:tab w:val="right" w:pos="9072"/>
      </w:tabs>
    </w:pPr>
  </w:style>
  <w:style w:type="character" w:customStyle="1" w:styleId="FooterChar">
    <w:name w:val="Footer Char"/>
    <w:basedOn w:val="DefaultParagraphFont"/>
    <w:link w:val="Footer"/>
    <w:uiPriority w:val="99"/>
    <w:rsid w:val="00BB3123"/>
  </w:style>
  <w:style w:type="character" w:styleId="PageNumber">
    <w:name w:val="page number"/>
    <w:basedOn w:val="DefaultParagraphFont"/>
    <w:uiPriority w:val="99"/>
    <w:semiHidden/>
    <w:unhideWhenUsed/>
    <w:rsid w:val="00467400"/>
  </w:style>
  <w:style w:type="paragraph" w:styleId="FootnoteText">
    <w:name w:val="footnote text"/>
    <w:basedOn w:val="Normal"/>
    <w:link w:val="FootnoteTextChar"/>
    <w:uiPriority w:val="99"/>
    <w:semiHidden/>
    <w:unhideWhenUsed/>
    <w:rsid w:val="005A5239"/>
    <w:rPr>
      <w:sz w:val="20"/>
      <w:szCs w:val="20"/>
    </w:rPr>
  </w:style>
  <w:style w:type="character" w:customStyle="1" w:styleId="FootnoteTextChar">
    <w:name w:val="Footnote Text Char"/>
    <w:basedOn w:val="DefaultParagraphFont"/>
    <w:link w:val="FootnoteText"/>
    <w:uiPriority w:val="99"/>
    <w:semiHidden/>
    <w:rsid w:val="005A5239"/>
    <w:rPr>
      <w:sz w:val="20"/>
      <w:szCs w:val="20"/>
    </w:rPr>
  </w:style>
  <w:style w:type="character" w:styleId="FootnoteReference">
    <w:name w:val="footnote reference"/>
    <w:basedOn w:val="DefaultParagraphFont"/>
    <w:uiPriority w:val="99"/>
    <w:semiHidden/>
    <w:unhideWhenUsed/>
    <w:rsid w:val="005A5239"/>
    <w:rPr>
      <w:vertAlign w:val="superscript"/>
    </w:rPr>
  </w:style>
  <w:style w:type="table" w:styleId="TableGrid">
    <w:name w:val="Table Grid"/>
    <w:basedOn w:val="TableNormal"/>
    <w:uiPriority w:val="39"/>
    <w:rsid w:val="0017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B4B"/>
    <w:rPr>
      <w:color w:val="0563C1" w:themeColor="hyperlink"/>
      <w:u w:val="single"/>
    </w:rPr>
  </w:style>
  <w:style w:type="character" w:styleId="UnresolvedMention">
    <w:name w:val="Unresolved Mention"/>
    <w:basedOn w:val="DefaultParagraphFont"/>
    <w:uiPriority w:val="99"/>
    <w:semiHidden/>
    <w:unhideWhenUsed/>
    <w:rsid w:val="00A40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59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haqaa2.obsglob.org/wp-content/uploads/2020/06/ASG-QA_Manual_en_09.FINALE-with-License-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97D2-86FC-4650-B3E3-5938381D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413</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Miranda | ENQA</cp:lastModifiedBy>
  <cp:revision>49</cp:revision>
  <cp:lastPrinted>2020-03-10T15:08:00Z</cp:lastPrinted>
  <dcterms:created xsi:type="dcterms:W3CDTF">2020-03-26T09:04:00Z</dcterms:created>
  <dcterms:modified xsi:type="dcterms:W3CDTF">2024-09-05T12:45:00Z</dcterms:modified>
</cp:coreProperties>
</file>