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A1EA9FC" w14:textId="77777777" w:rsidR="004A54E0" w:rsidRDefault="004A54E0" w:rsidP="004A54E0">
      <w:pPr>
        <w:rPr>
          <w:b/>
          <w:bCs/>
          <w:sz w:val="22"/>
          <w:szCs w:val="22"/>
          <w:u w:val="single"/>
        </w:rPr>
      </w:pPr>
      <w:r>
        <w:rPr>
          <w:b/>
          <w:bCs/>
          <w:sz w:val="22"/>
          <w:szCs w:val="22"/>
          <w:u w:val="single"/>
        </w:rPr>
        <w:t>Individual exercise 3 instructions (1/2): Sketching a conceptual architecture for a system-level HEMIS</w:t>
      </w:r>
    </w:p>
    <w:p w14:paraId="256BDAAD" w14:textId="77777777" w:rsidR="004A54E0" w:rsidRDefault="004A54E0" w:rsidP="004A54E0">
      <w:pPr>
        <w:spacing w:before="240" w:after="120"/>
        <w:rPr>
          <w:sz w:val="22"/>
          <w:szCs w:val="22"/>
        </w:rPr>
      </w:pPr>
      <w:r>
        <w:rPr>
          <w:sz w:val="22"/>
          <w:szCs w:val="22"/>
        </w:rPr>
        <w:t>In this exercise, you will sketch a simplified architecture for a system-level HEMIS. The aim is not to design a detailed technical system or select a software solution. It is to define the main building blocks and principles of a coherent HEMIS architecture.</w:t>
      </w:r>
    </w:p>
    <w:p w14:paraId="35B0E62E" w14:textId="77777777" w:rsidR="004A54E0" w:rsidRDefault="004A54E0" w:rsidP="004A54E0">
      <w:pPr>
        <w:spacing w:after="120"/>
        <w:rPr>
          <w:sz w:val="22"/>
          <w:szCs w:val="22"/>
        </w:rPr>
      </w:pPr>
      <w:r>
        <w:rPr>
          <w:sz w:val="22"/>
          <w:szCs w:val="22"/>
        </w:rPr>
        <w:t>To keep the exercise manageable, please consider a simplified system composed of:</w:t>
      </w:r>
    </w:p>
    <w:p w14:paraId="5E7B498D" w14:textId="77777777" w:rsidR="004A54E0" w:rsidRDefault="004A54E0" w:rsidP="004A54E0">
      <w:pPr>
        <w:numPr>
          <w:ilvl w:val="1"/>
          <w:numId w:val="2"/>
        </w:numPr>
        <w:pBdr>
          <w:top w:val="nil"/>
          <w:left w:val="nil"/>
          <w:bottom w:val="nil"/>
          <w:right w:val="nil"/>
          <w:between w:val="nil"/>
        </w:pBdr>
        <w:rPr>
          <w:color w:val="000000"/>
          <w:sz w:val="22"/>
          <w:szCs w:val="22"/>
        </w:rPr>
      </w:pPr>
      <w:r>
        <w:rPr>
          <w:color w:val="000000"/>
          <w:sz w:val="22"/>
          <w:szCs w:val="22"/>
        </w:rPr>
        <w:t>A central ministry or higher-education authority</w:t>
      </w:r>
    </w:p>
    <w:p w14:paraId="3AC19411" w14:textId="77777777" w:rsidR="004A54E0" w:rsidRDefault="004A54E0" w:rsidP="004A54E0">
      <w:pPr>
        <w:numPr>
          <w:ilvl w:val="1"/>
          <w:numId w:val="2"/>
        </w:numPr>
        <w:pBdr>
          <w:top w:val="nil"/>
          <w:left w:val="nil"/>
          <w:bottom w:val="nil"/>
          <w:right w:val="nil"/>
          <w:between w:val="nil"/>
        </w:pBdr>
        <w:rPr>
          <w:color w:val="000000"/>
          <w:sz w:val="22"/>
          <w:szCs w:val="22"/>
        </w:rPr>
      </w:pPr>
      <w:r>
        <w:rPr>
          <w:color w:val="000000"/>
          <w:sz w:val="22"/>
          <w:szCs w:val="22"/>
        </w:rPr>
        <w:t>Two independent specialised agencies in charge of (1) quality assurance and accreditation and (2) national statistics and reporting</w:t>
      </w:r>
    </w:p>
    <w:p w14:paraId="2F5A34F5" w14:textId="77777777" w:rsidR="004A54E0" w:rsidRDefault="004A54E0" w:rsidP="004A54E0">
      <w:pPr>
        <w:numPr>
          <w:ilvl w:val="1"/>
          <w:numId w:val="2"/>
        </w:numPr>
        <w:pBdr>
          <w:top w:val="nil"/>
          <w:left w:val="nil"/>
          <w:bottom w:val="nil"/>
          <w:right w:val="nil"/>
          <w:between w:val="nil"/>
        </w:pBdr>
        <w:rPr>
          <w:color w:val="000000"/>
          <w:sz w:val="22"/>
          <w:szCs w:val="22"/>
        </w:rPr>
      </w:pPr>
      <w:r>
        <w:rPr>
          <w:color w:val="000000"/>
          <w:sz w:val="22"/>
          <w:szCs w:val="22"/>
        </w:rPr>
        <w:t>A network of autonomous public and private higher education institutions</w:t>
      </w:r>
    </w:p>
    <w:p w14:paraId="32AE5A3F" w14:textId="77777777" w:rsidR="004A54E0" w:rsidRDefault="004A54E0" w:rsidP="004A54E0">
      <w:pPr>
        <w:numPr>
          <w:ilvl w:val="1"/>
          <w:numId w:val="2"/>
        </w:numPr>
        <w:pBdr>
          <w:top w:val="nil"/>
          <w:left w:val="nil"/>
          <w:bottom w:val="nil"/>
          <w:right w:val="nil"/>
          <w:between w:val="nil"/>
        </w:pBdr>
        <w:rPr>
          <w:color w:val="000000"/>
          <w:sz w:val="22"/>
          <w:szCs w:val="22"/>
        </w:rPr>
      </w:pPr>
      <w:r>
        <w:rPr>
          <w:color w:val="000000"/>
          <w:sz w:val="22"/>
          <w:szCs w:val="22"/>
        </w:rPr>
        <w:t>International organisations and development partners</w:t>
      </w:r>
    </w:p>
    <w:p w14:paraId="65C8E20D" w14:textId="77777777" w:rsidR="004A54E0" w:rsidRDefault="004A54E0" w:rsidP="004A54E0">
      <w:pPr>
        <w:numPr>
          <w:ilvl w:val="0"/>
          <w:numId w:val="1"/>
        </w:numPr>
        <w:pBdr>
          <w:top w:val="nil"/>
          <w:left w:val="nil"/>
          <w:bottom w:val="nil"/>
          <w:right w:val="nil"/>
          <w:between w:val="nil"/>
        </w:pBdr>
        <w:spacing w:before="240" w:after="120"/>
        <w:rPr>
          <w:color w:val="000000"/>
          <w:sz w:val="22"/>
          <w:szCs w:val="22"/>
        </w:rPr>
      </w:pPr>
      <w:r>
        <w:rPr>
          <w:color w:val="000000"/>
          <w:sz w:val="22"/>
          <w:szCs w:val="22"/>
        </w:rPr>
        <w:t>Using Template 1, review each stage of the HEMIS architecture, represented here as a simplified data lifecycle from defining what data is needed to disseminating clean data and outputs. For each stage, identify:</w:t>
      </w:r>
    </w:p>
    <w:p w14:paraId="6694EB48" w14:textId="77777777" w:rsidR="004A54E0" w:rsidRDefault="004A54E0" w:rsidP="004A54E0">
      <w:pPr>
        <w:numPr>
          <w:ilvl w:val="1"/>
          <w:numId w:val="1"/>
        </w:numPr>
        <w:pBdr>
          <w:top w:val="nil"/>
          <w:left w:val="nil"/>
          <w:bottom w:val="nil"/>
          <w:right w:val="nil"/>
          <w:between w:val="nil"/>
        </w:pBdr>
        <w:rPr>
          <w:color w:val="000000"/>
          <w:sz w:val="22"/>
          <w:szCs w:val="22"/>
        </w:rPr>
      </w:pPr>
      <w:r>
        <w:rPr>
          <w:b/>
          <w:bCs/>
          <w:color w:val="000000"/>
          <w:sz w:val="22"/>
          <w:szCs w:val="22"/>
        </w:rPr>
        <w:t>The main actor(s) involved</w:t>
      </w:r>
      <w:r>
        <w:rPr>
          <w:color w:val="000000"/>
          <w:sz w:val="22"/>
          <w:szCs w:val="22"/>
        </w:rPr>
        <w:t>: Indicate which actor(s) are involved at this stage. Several actors may be involved in the same stage.</w:t>
      </w:r>
    </w:p>
    <w:p w14:paraId="7A130BD5" w14:textId="77777777" w:rsidR="004A54E0" w:rsidRDefault="004A54E0" w:rsidP="004A54E0">
      <w:pPr>
        <w:numPr>
          <w:ilvl w:val="1"/>
          <w:numId w:val="1"/>
        </w:numPr>
        <w:pBdr>
          <w:top w:val="nil"/>
          <w:left w:val="nil"/>
          <w:bottom w:val="nil"/>
          <w:right w:val="nil"/>
          <w:between w:val="nil"/>
        </w:pBdr>
        <w:rPr>
          <w:color w:val="000000"/>
          <w:sz w:val="22"/>
          <w:szCs w:val="22"/>
        </w:rPr>
      </w:pPr>
      <w:r>
        <w:rPr>
          <w:color w:val="000000"/>
          <w:sz w:val="22"/>
          <w:szCs w:val="22"/>
        </w:rPr>
        <w:t xml:space="preserve">Key </w:t>
      </w:r>
      <w:r>
        <w:rPr>
          <w:b/>
          <w:bCs/>
          <w:color w:val="000000"/>
          <w:sz w:val="22"/>
          <w:szCs w:val="22"/>
        </w:rPr>
        <w:t>technical or policy requirements</w:t>
      </w:r>
      <w:r>
        <w:rPr>
          <w:color w:val="000000"/>
          <w:sz w:val="22"/>
          <w:szCs w:val="22"/>
        </w:rPr>
        <w:t xml:space="preserve"> to consider: Note the main requirements needed for this stage to function properly. You can refer to the list of example requirements provided in the next page.</w:t>
      </w:r>
    </w:p>
    <w:p w14:paraId="47B9F30C" w14:textId="77777777" w:rsidR="004A54E0" w:rsidRDefault="004A54E0" w:rsidP="004A54E0">
      <w:pPr>
        <w:numPr>
          <w:ilvl w:val="0"/>
          <w:numId w:val="1"/>
        </w:numPr>
        <w:pBdr>
          <w:top w:val="nil"/>
          <w:left w:val="nil"/>
          <w:bottom w:val="nil"/>
          <w:right w:val="nil"/>
          <w:between w:val="nil"/>
        </w:pBdr>
        <w:spacing w:before="240" w:after="120"/>
        <w:rPr>
          <w:color w:val="000000"/>
          <w:sz w:val="22"/>
          <w:szCs w:val="22"/>
        </w:rPr>
      </w:pPr>
      <w:r>
        <w:rPr>
          <w:color w:val="000000"/>
          <w:sz w:val="22"/>
          <w:szCs w:val="22"/>
        </w:rPr>
        <w:t>Sketch the data-flow diagram using Template 2. Draw labelled arrows between the actors to show how information should circulate in the system. Add the following labels to arrows to specify the types of data flow:</w:t>
      </w:r>
    </w:p>
    <w:p w14:paraId="43ADF930" w14:textId="77777777" w:rsidR="004A54E0" w:rsidRDefault="004A54E0" w:rsidP="004A54E0">
      <w:pPr>
        <w:numPr>
          <w:ilvl w:val="1"/>
          <w:numId w:val="1"/>
        </w:numPr>
        <w:pBdr>
          <w:top w:val="nil"/>
          <w:left w:val="nil"/>
          <w:bottom w:val="nil"/>
          <w:right w:val="nil"/>
          <w:between w:val="nil"/>
        </w:pBdr>
        <w:rPr>
          <w:color w:val="000000"/>
          <w:sz w:val="22"/>
          <w:szCs w:val="22"/>
        </w:rPr>
      </w:pPr>
      <w:r>
        <w:rPr>
          <w:b/>
          <w:bCs/>
          <w:color w:val="000000"/>
          <w:sz w:val="22"/>
          <w:szCs w:val="22"/>
        </w:rPr>
        <w:t>RD = Raw data submission</w:t>
      </w:r>
      <w:r>
        <w:rPr>
          <w:color w:val="000000"/>
          <w:sz w:val="22"/>
          <w:szCs w:val="22"/>
        </w:rPr>
        <w:t xml:space="preserve"> (i.e., data submitted after production and initial checks, for example by institutions or agencies)</w:t>
      </w:r>
    </w:p>
    <w:p w14:paraId="043D7A83" w14:textId="77777777" w:rsidR="004A54E0" w:rsidRDefault="004A54E0" w:rsidP="004A54E0">
      <w:pPr>
        <w:numPr>
          <w:ilvl w:val="1"/>
          <w:numId w:val="1"/>
        </w:numPr>
        <w:pBdr>
          <w:top w:val="nil"/>
          <w:left w:val="nil"/>
          <w:bottom w:val="nil"/>
          <w:right w:val="nil"/>
          <w:between w:val="nil"/>
        </w:pBdr>
        <w:rPr>
          <w:color w:val="000000"/>
          <w:sz w:val="22"/>
          <w:szCs w:val="22"/>
        </w:rPr>
      </w:pPr>
      <w:r>
        <w:rPr>
          <w:b/>
          <w:bCs/>
          <w:color w:val="000000"/>
          <w:sz w:val="22"/>
          <w:szCs w:val="22"/>
        </w:rPr>
        <w:t>VC = Data validation and correction loops</w:t>
      </w:r>
      <w:r>
        <w:rPr>
          <w:color w:val="000000"/>
          <w:sz w:val="22"/>
          <w:szCs w:val="22"/>
        </w:rPr>
        <w:t xml:space="preserve"> (i.e., exchanges between actors related to checking data quality, sending queries or error reports, correcting data, and resubmitting information)</w:t>
      </w:r>
    </w:p>
    <w:p w14:paraId="45919F6C" w14:textId="77777777" w:rsidR="004A54E0" w:rsidRDefault="004A54E0" w:rsidP="004A54E0">
      <w:pPr>
        <w:numPr>
          <w:ilvl w:val="1"/>
          <w:numId w:val="1"/>
        </w:numPr>
        <w:pBdr>
          <w:top w:val="nil"/>
          <w:left w:val="nil"/>
          <w:bottom w:val="nil"/>
          <w:right w:val="nil"/>
          <w:between w:val="nil"/>
        </w:pBdr>
        <w:rPr>
          <w:color w:val="000000"/>
          <w:sz w:val="22"/>
          <w:szCs w:val="22"/>
        </w:rPr>
      </w:pPr>
      <w:r>
        <w:rPr>
          <w:b/>
          <w:bCs/>
          <w:color w:val="000000"/>
          <w:sz w:val="22"/>
          <w:szCs w:val="22"/>
        </w:rPr>
        <w:t>OD = Clean data and outputs dissemination</w:t>
      </w:r>
      <w:r>
        <w:rPr>
          <w:color w:val="000000"/>
          <w:sz w:val="22"/>
          <w:szCs w:val="22"/>
        </w:rPr>
        <w:t xml:space="preserve"> (i.e., Circulation of validated data, reports, dashboards, official statistics, analytical outputs, or international reporting files).</w:t>
      </w:r>
    </w:p>
    <w:p w14:paraId="7E9DD609" w14:textId="77777777" w:rsidR="004A54E0" w:rsidRDefault="004A54E0" w:rsidP="004A54E0">
      <w:pPr>
        <w:pBdr>
          <w:top w:val="nil"/>
          <w:left w:val="nil"/>
          <w:bottom w:val="nil"/>
          <w:right w:val="nil"/>
          <w:between w:val="nil"/>
        </w:pBdr>
        <w:spacing w:before="120"/>
        <w:ind w:left="737"/>
        <w:rPr>
          <w:color w:val="000000"/>
          <w:sz w:val="22"/>
          <w:szCs w:val="22"/>
        </w:rPr>
      </w:pPr>
      <w:r>
        <w:rPr>
          <w:color w:val="000000"/>
          <w:sz w:val="22"/>
          <w:szCs w:val="22"/>
        </w:rPr>
        <w:t xml:space="preserve">You may draw several arrows between the same actors if different types of flows exist. For example, institutions may submit raw data to the ministry or agency, receive validation queries, and later receive feedback reports or dashboards based on final data. You can also add a </w:t>
      </w:r>
      <w:r>
        <w:rPr>
          <w:b/>
          <w:bCs/>
          <w:color w:val="000000"/>
          <w:sz w:val="22"/>
          <w:szCs w:val="22"/>
        </w:rPr>
        <w:t>number</w:t>
      </w:r>
      <w:r>
        <w:rPr>
          <w:color w:val="000000"/>
          <w:sz w:val="22"/>
          <w:szCs w:val="22"/>
        </w:rPr>
        <w:t xml:space="preserve"> to the label attached to the arrow to specify the stage of the HEMIS architecture/data lifecycle at which it takes place (as noted in template 1) – for example, RD2 for “raw data submission in stage 2”.</w:t>
      </w:r>
      <w:r>
        <w:rPr>
          <w:color w:val="000000"/>
        </w:rPr>
        <w:t xml:space="preserve"> </w:t>
      </w:r>
    </w:p>
    <w:p w14:paraId="08291561" w14:textId="77777777" w:rsidR="004A54E0" w:rsidRDefault="004A54E0" w:rsidP="004A54E0">
      <w:pPr>
        <w:numPr>
          <w:ilvl w:val="0"/>
          <w:numId w:val="1"/>
        </w:numPr>
        <w:pBdr>
          <w:top w:val="nil"/>
          <w:left w:val="nil"/>
          <w:bottom w:val="nil"/>
          <w:right w:val="nil"/>
          <w:between w:val="nil"/>
        </w:pBdr>
        <w:spacing w:before="240" w:after="120"/>
        <w:rPr>
          <w:color w:val="000000"/>
          <w:sz w:val="22"/>
          <w:szCs w:val="22"/>
        </w:rPr>
      </w:pPr>
      <w:r>
        <w:rPr>
          <w:color w:val="000000"/>
          <w:sz w:val="22"/>
          <w:szCs w:val="22"/>
        </w:rPr>
        <w:t>Complete the concluding remarks using Template 3. Briefly reflect on the architecture you have sketched:</w:t>
      </w:r>
    </w:p>
    <w:p w14:paraId="2B25D254" w14:textId="77777777" w:rsidR="004A54E0" w:rsidRDefault="004A54E0" w:rsidP="004A54E0">
      <w:pPr>
        <w:numPr>
          <w:ilvl w:val="1"/>
          <w:numId w:val="1"/>
        </w:numPr>
        <w:pBdr>
          <w:top w:val="nil"/>
          <w:left w:val="nil"/>
          <w:bottom w:val="nil"/>
          <w:right w:val="nil"/>
          <w:between w:val="nil"/>
        </w:pBdr>
        <w:rPr>
          <w:color w:val="000000"/>
          <w:sz w:val="22"/>
          <w:szCs w:val="22"/>
        </w:rPr>
      </w:pPr>
      <w:r>
        <w:rPr>
          <w:color w:val="000000"/>
          <w:sz w:val="22"/>
          <w:szCs w:val="22"/>
        </w:rPr>
        <w:t xml:space="preserve">What is the most important </w:t>
      </w:r>
      <w:r>
        <w:rPr>
          <w:b/>
          <w:bCs/>
          <w:color w:val="000000"/>
          <w:sz w:val="22"/>
          <w:szCs w:val="22"/>
        </w:rPr>
        <w:t>coordination issue</w:t>
      </w:r>
      <w:r>
        <w:rPr>
          <w:color w:val="000000"/>
          <w:sz w:val="22"/>
          <w:szCs w:val="22"/>
        </w:rPr>
        <w:t xml:space="preserve"> to address in the system?</w:t>
      </w:r>
    </w:p>
    <w:p w14:paraId="65029ACF" w14:textId="77777777" w:rsidR="004A54E0" w:rsidRDefault="004A54E0" w:rsidP="004A54E0">
      <w:pPr>
        <w:numPr>
          <w:ilvl w:val="1"/>
          <w:numId w:val="1"/>
        </w:numPr>
        <w:pBdr>
          <w:top w:val="nil"/>
          <w:left w:val="nil"/>
          <w:bottom w:val="nil"/>
          <w:right w:val="nil"/>
          <w:between w:val="nil"/>
        </w:pBdr>
        <w:rPr>
          <w:color w:val="000000"/>
          <w:sz w:val="22"/>
          <w:szCs w:val="22"/>
        </w:rPr>
      </w:pPr>
      <w:r>
        <w:rPr>
          <w:color w:val="000000"/>
          <w:sz w:val="22"/>
          <w:szCs w:val="22"/>
        </w:rPr>
        <w:t xml:space="preserve">What is the most important </w:t>
      </w:r>
      <w:r>
        <w:rPr>
          <w:b/>
          <w:bCs/>
          <w:color w:val="000000"/>
          <w:sz w:val="22"/>
          <w:szCs w:val="22"/>
        </w:rPr>
        <w:t xml:space="preserve">feature or arrangement </w:t>
      </w:r>
      <w:r>
        <w:rPr>
          <w:color w:val="000000"/>
          <w:sz w:val="22"/>
          <w:szCs w:val="22"/>
        </w:rPr>
        <w:t>to ensure</w:t>
      </w:r>
      <w:r>
        <w:rPr>
          <w:b/>
          <w:bCs/>
          <w:color w:val="000000"/>
          <w:sz w:val="22"/>
          <w:szCs w:val="22"/>
        </w:rPr>
        <w:t xml:space="preserve"> interoperability</w:t>
      </w:r>
      <w:r>
        <w:rPr>
          <w:color w:val="000000"/>
          <w:sz w:val="22"/>
          <w:szCs w:val="22"/>
        </w:rPr>
        <w:t>?</w:t>
      </w:r>
    </w:p>
    <w:p w14:paraId="2FF9DD2E" w14:textId="77777777" w:rsidR="004A54E0" w:rsidRDefault="004A54E0" w:rsidP="004A54E0">
      <w:pPr>
        <w:numPr>
          <w:ilvl w:val="1"/>
          <w:numId w:val="1"/>
        </w:numPr>
        <w:pBdr>
          <w:top w:val="nil"/>
          <w:left w:val="nil"/>
          <w:bottom w:val="nil"/>
          <w:right w:val="nil"/>
          <w:between w:val="nil"/>
        </w:pBdr>
        <w:rPr>
          <w:color w:val="000000"/>
          <w:sz w:val="22"/>
          <w:szCs w:val="22"/>
        </w:rPr>
      </w:pPr>
      <w:r>
        <w:rPr>
          <w:color w:val="000000"/>
          <w:sz w:val="22"/>
          <w:szCs w:val="22"/>
        </w:rPr>
        <w:lastRenderedPageBreak/>
        <w:t xml:space="preserve">What is the main </w:t>
      </w:r>
      <w:r>
        <w:rPr>
          <w:b/>
          <w:bCs/>
          <w:color w:val="000000"/>
          <w:sz w:val="22"/>
          <w:szCs w:val="22"/>
        </w:rPr>
        <w:t>risk</w:t>
      </w:r>
      <w:r>
        <w:rPr>
          <w:color w:val="000000"/>
          <w:sz w:val="22"/>
          <w:szCs w:val="22"/>
        </w:rPr>
        <w:t xml:space="preserve"> in the proposed architecture?</w:t>
      </w:r>
    </w:p>
    <w:p w14:paraId="1FA6E95B" w14:textId="77777777" w:rsidR="004A54E0" w:rsidRDefault="004A54E0" w:rsidP="004A54E0">
      <w:r>
        <w:br w:type="page"/>
      </w:r>
    </w:p>
    <w:p w14:paraId="61531203" w14:textId="77777777" w:rsidR="004A54E0" w:rsidRDefault="004A54E0" w:rsidP="004A54E0">
      <w:pPr>
        <w:rPr>
          <w:b/>
          <w:bCs/>
          <w:sz w:val="22"/>
          <w:szCs w:val="22"/>
          <w:u w:val="single"/>
        </w:rPr>
      </w:pPr>
      <w:r>
        <w:rPr>
          <w:b/>
          <w:bCs/>
          <w:sz w:val="22"/>
          <w:szCs w:val="22"/>
          <w:u w:val="single"/>
        </w:rPr>
        <w:lastRenderedPageBreak/>
        <w:t>Individual exercise 3 instructions (2/2): Examples of technical and policy requirements for HEMIS architecture</w:t>
      </w:r>
    </w:p>
    <w:p w14:paraId="4AE6E1A5" w14:textId="77777777" w:rsidR="004A54E0" w:rsidRDefault="004A54E0" w:rsidP="004A54E0">
      <w:pPr>
        <w:spacing w:before="120" w:after="120"/>
        <w:rPr>
          <w:sz w:val="22"/>
          <w:szCs w:val="22"/>
        </w:rPr>
      </w:pPr>
      <w:r>
        <w:rPr>
          <w:sz w:val="22"/>
          <w:szCs w:val="22"/>
        </w:rPr>
        <w:t>When completing Template 1, you can use the items below as inspiration to fill in the “key technical or policy requirements” column. You do not need to use all items, and you may add other requirements that are important in your context:</w:t>
      </w:r>
    </w:p>
    <w:p w14:paraId="166B47A4" w14:textId="77777777" w:rsidR="004A54E0" w:rsidRDefault="004A54E0" w:rsidP="004A54E0">
      <w:pPr>
        <w:numPr>
          <w:ilvl w:val="0"/>
          <w:numId w:val="3"/>
        </w:numPr>
        <w:pBdr>
          <w:top w:val="nil"/>
          <w:left w:val="nil"/>
          <w:bottom w:val="nil"/>
          <w:right w:val="nil"/>
          <w:between w:val="nil"/>
        </w:pBdr>
        <w:spacing w:after="120"/>
        <w:rPr>
          <w:color w:val="000000"/>
          <w:sz w:val="22"/>
          <w:szCs w:val="22"/>
        </w:rPr>
      </w:pPr>
      <w:r>
        <w:rPr>
          <w:b/>
          <w:bCs/>
          <w:color w:val="000000"/>
          <w:sz w:val="22"/>
          <w:szCs w:val="22"/>
        </w:rPr>
        <w:t>Legal or policy framework defining HEMIS mandates</w:t>
      </w:r>
      <w:r>
        <w:rPr>
          <w:color w:val="000000"/>
          <w:sz w:val="22"/>
          <w:szCs w:val="22"/>
        </w:rPr>
        <w:t>: legislation, regulations, policy documents or official guidelines specifying the roles and responsibilities of the ministry, agencies, institutions and other actors involved in the HEMIS.</w:t>
      </w:r>
    </w:p>
    <w:p w14:paraId="2CA82A1B" w14:textId="77777777" w:rsidR="004A54E0" w:rsidRDefault="004A54E0" w:rsidP="004A54E0">
      <w:pPr>
        <w:numPr>
          <w:ilvl w:val="0"/>
          <w:numId w:val="3"/>
        </w:numPr>
        <w:pBdr>
          <w:top w:val="nil"/>
          <w:left w:val="nil"/>
          <w:bottom w:val="nil"/>
          <w:right w:val="nil"/>
          <w:between w:val="nil"/>
        </w:pBdr>
        <w:spacing w:after="120"/>
        <w:rPr>
          <w:color w:val="000000"/>
          <w:sz w:val="22"/>
          <w:szCs w:val="22"/>
        </w:rPr>
      </w:pPr>
      <w:r>
        <w:rPr>
          <w:b/>
          <w:bCs/>
          <w:color w:val="000000"/>
          <w:sz w:val="22"/>
          <w:szCs w:val="22"/>
        </w:rPr>
        <w:t>Multi-stakeholder steering and consultation mechanisms</w:t>
      </w:r>
      <w:r>
        <w:rPr>
          <w:color w:val="000000"/>
          <w:sz w:val="22"/>
          <w:szCs w:val="22"/>
        </w:rPr>
        <w:t>: a national HEMIS council, technical working groups or consultation processes involving the ministry, agencies and public/private institutions in decisions on indicators, reporting rules, standards and system evolution.</w:t>
      </w:r>
    </w:p>
    <w:p w14:paraId="4A642B3E" w14:textId="77777777" w:rsidR="004A54E0" w:rsidRDefault="004A54E0" w:rsidP="004A54E0">
      <w:pPr>
        <w:numPr>
          <w:ilvl w:val="0"/>
          <w:numId w:val="3"/>
        </w:numPr>
        <w:pBdr>
          <w:top w:val="nil"/>
          <w:left w:val="nil"/>
          <w:bottom w:val="nil"/>
          <w:right w:val="nil"/>
          <w:between w:val="nil"/>
        </w:pBdr>
        <w:spacing w:after="120"/>
        <w:rPr>
          <w:color w:val="000000"/>
          <w:sz w:val="22"/>
          <w:szCs w:val="22"/>
        </w:rPr>
      </w:pPr>
      <w:r>
        <w:rPr>
          <w:b/>
          <w:bCs/>
          <w:color w:val="000000"/>
          <w:sz w:val="22"/>
          <w:szCs w:val="22"/>
        </w:rPr>
        <w:t>Shared data dictionary and indicator framework</w:t>
      </w:r>
      <w:r>
        <w:rPr>
          <w:color w:val="000000"/>
          <w:sz w:val="22"/>
          <w:szCs w:val="22"/>
        </w:rPr>
        <w:t>: a shared reference document defining data nomenclature, metadata, indicators, calculation methods, disaggregation levels, reporting units and terminology.</w:t>
      </w:r>
    </w:p>
    <w:p w14:paraId="7FDBD6C4" w14:textId="77777777" w:rsidR="004A54E0" w:rsidRDefault="004A54E0" w:rsidP="004A54E0">
      <w:pPr>
        <w:numPr>
          <w:ilvl w:val="0"/>
          <w:numId w:val="3"/>
        </w:numPr>
        <w:pBdr>
          <w:top w:val="nil"/>
          <w:left w:val="nil"/>
          <w:bottom w:val="nil"/>
          <w:right w:val="nil"/>
          <w:between w:val="nil"/>
        </w:pBdr>
        <w:spacing w:after="120"/>
        <w:rPr>
          <w:color w:val="000000"/>
          <w:sz w:val="22"/>
          <w:szCs w:val="22"/>
        </w:rPr>
      </w:pPr>
      <w:r>
        <w:rPr>
          <w:b/>
          <w:bCs/>
          <w:color w:val="000000"/>
          <w:sz w:val="22"/>
          <w:szCs w:val="22"/>
        </w:rPr>
        <w:t>Common classifications and unique identifiers</w:t>
      </w:r>
      <w:r>
        <w:rPr>
          <w:color w:val="000000"/>
          <w:sz w:val="22"/>
          <w:szCs w:val="22"/>
        </w:rPr>
        <w:t>: shared codes or classifications for institutions, programmes, qualifications, fields of study, students, staff, locations or other key entities.</w:t>
      </w:r>
    </w:p>
    <w:p w14:paraId="2FCB16F7" w14:textId="77777777" w:rsidR="004A54E0" w:rsidRDefault="004A54E0" w:rsidP="004A54E0">
      <w:pPr>
        <w:numPr>
          <w:ilvl w:val="0"/>
          <w:numId w:val="3"/>
        </w:numPr>
        <w:pBdr>
          <w:top w:val="nil"/>
          <w:left w:val="nil"/>
          <w:bottom w:val="nil"/>
          <w:right w:val="nil"/>
          <w:between w:val="nil"/>
        </w:pBdr>
        <w:spacing w:after="120"/>
        <w:rPr>
          <w:color w:val="000000"/>
          <w:sz w:val="22"/>
          <w:szCs w:val="22"/>
        </w:rPr>
      </w:pPr>
      <w:r>
        <w:rPr>
          <w:b/>
          <w:bCs/>
          <w:color w:val="000000"/>
          <w:sz w:val="22"/>
          <w:szCs w:val="22"/>
        </w:rPr>
        <w:t>Standardised reporting specifications</w:t>
      </w:r>
      <w:r>
        <w:rPr>
          <w:color w:val="000000"/>
          <w:sz w:val="22"/>
          <w:szCs w:val="22"/>
        </w:rPr>
        <w:t>:</w:t>
      </w:r>
      <w:r>
        <w:rPr>
          <w:color w:val="000000"/>
        </w:rPr>
        <w:t xml:space="preserve"> </w:t>
      </w:r>
      <w:r>
        <w:rPr>
          <w:color w:val="000000"/>
          <w:sz w:val="22"/>
          <w:szCs w:val="22"/>
        </w:rPr>
        <w:t>clear templates, submission formats, reporting calendars and guidance documents for institutions and other data producers.</w:t>
      </w:r>
    </w:p>
    <w:p w14:paraId="1D3CBBA7" w14:textId="77777777" w:rsidR="004A54E0" w:rsidRDefault="004A54E0" w:rsidP="004A54E0">
      <w:pPr>
        <w:numPr>
          <w:ilvl w:val="0"/>
          <w:numId w:val="3"/>
        </w:numPr>
        <w:pBdr>
          <w:top w:val="nil"/>
          <w:left w:val="nil"/>
          <w:bottom w:val="nil"/>
          <w:right w:val="nil"/>
          <w:between w:val="nil"/>
        </w:pBdr>
        <w:spacing w:after="120"/>
        <w:rPr>
          <w:color w:val="000000"/>
          <w:sz w:val="22"/>
          <w:szCs w:val="22"/>
        </w:rPr>
      </w:pPr>
      <w:r>
        <w:rPr>
          <w:b/>
          <w:bCs/>
          <w:color w:val="000000"/>
          <w:sz w:val="22"/>
          <w:szCs w:val="22"/>
        </w:rPr>
        <w:t>Secure and standardised data exchange</w:t>
      </w:r>
      <w:r>
        <w:rPr>
          <w:color w:val="000000"/>
          <w:sz w:val="22"/>
          <w:szCs w:val="22"/>
        </w:rPr>
        <w:t xml:space="preserve"> </w:t>
      </w:r>
      <w:r>
        <w:rPr>
          <w:b/>
          <w:bCs/>
          <w:color w:val="000000"/>
          <w:sz w:val="22"/>
          <w:szCs w:val="22"/>
        </w:rPr>
        <w:t>channels</w:t>
      </w:r>
      <w:r>
        <w:rPr>
          <w:color w:val="000000"/>
          <w:sz w:val="22"/>
          <w:szCs w:val="22"/>
        </w:rPr>
        <w:t>: agreed channels for submitting and exchanging data, such as a reporting portal, structured files, APIs or other secure transfer mechanisms.</w:t>
      </w:r>
    </w:p>
    <w:p w14:paraId="3DF7B8CE" w14:textId="77777777" w:rsidR="004A54E0" w:rsidRDefault="004A54E0" w:rsidP="004A54E0">
      <w:pPr>
        <w:numPr>
          <w:ilvl w:val="0"/>
          <w:numId w:val="3"/>
        </w:numPr>
        <w:pBdr>
          <w:top w:val="nil"/>
          <w:left w:val="nil"/>
          <w:bottom w:val="nil"/>
          <w:right w:val="nil"/>
          <w:between w:val="nil"/>
        </w:pBdr>
        <w:spacing w:after="120"/>
        <w:rPr>
          <w:color w:val="000000"/>
          <w:sz w:val="22"/>
          <w:szCs w:val="22"/>
        </w:rPr>
      </w:pPr>
      <w:r>
        <w:rPr>
          <w:b/>
          <w:bCs/>
          <w:color w:val="000000"/>
          <w:sz w:val="22"/>
          <w:szCs w:val="22"/>
        </w:rPr>
        <w:t>Interoperability specifications</w:t>
      </w:r>
      <w:r>
        <w:rPr>
          <w:color w:val="000000"/>
          <w:sz w:val="22"/>
          <w:szCs w:val="22"/>
        </w:rPr>
        <w:t>: technical and data standards that allow institutional HEMIS, agency databases and the system-level HEMIS to exchange, align or link data.</w:t>
      </w:r>
    </w:p>
    <w:p w14:paraId="63798715" w14:textId="77777777" w:rsidR="004A54E0" w:rsidRDefault="004A54E0" w:rsidP="004A54E0">
      <w:pPr>
        <w:numPr>
          <w:ilvl w:val="0"/>
          <w:numId w:val="3"/>
        </w:numPr>
        <w:pBdr>
          <w:top w:val="nil"/>
          <w:left w:val="nil"/>
          <w:bottom w:val="nil"/>
          <w:right w:val="nil"/>
          <w:between w:val="nil"/>
        </w:pBdr>
        <w:spacing w:after="120"/>
        <w:rPr>
          <w:color w:val="000000"/>
          <w:sz w:val="22"/>
          <w:szCs w:val="22"/>
        </w:rPr>
      </w:pPr>
      <w:r>
        <w:rPr>
          <w:b/>
          <w:bCs/>
          <w:color w:val="000000"/>
          <w:sz w:val="22"/>
          <w:szCs w:val="22"/>
        </w:rPr>
        <w:t>Data quality assurance mechanism</w:t>
      </w:r>
      <w:r>
        <w:rPr>
          <w:color w:val="000000"/>
          <w:sz w:val="22"/>
          <w:szCs w:val="22"/>
        </w:rPr>
        <w:t>: agreed procedures for checking, validating and improving data completeness, consistency, accuracy and comparability across institutions or sources, including processes for queries, corrections and resubmissions where needed.</w:t>
      </w:r>
    </w:p>
    <w:p w14:paraId="48401F13" w14:textId="77777777" w:rsidR="004A54E0" w:rsidRDefault="004A54E0" w:rsidP="004A54E0">
      <w:pPr>
        <w:numPr>
          <w:ilvl w:val="0"/>
          <w:numId w:val="3"/>
        </w:numPr>
        <w:pBdr>
          <w:top w:val="nil"/>
          <w:left w:val="nil"/>
          <w:bottom w:val="nil"/>
          <w:right w:val="nil"/>
          <w:between w:val="nil"/>
        </w:pBdr>
        <w:spacing w:after="120"/>
        <w:ind w:left="714" w:hanging="357"/>
        <w:rPr>
          <w:color w:val="000000"/>
          <w:sz w:val="22"/>
          <w:szCs w:val="22"/>
        </w:rPr>
      </w:pPr>
      <w:r>
        <w:rPr>
          <w:b/>
          <w:bCs/>
          <w:color w:val="000000"/>
          <w:sz w:val="22"/>
          <w:szCs w:val="22"/>
        </w:rPr>
        <w:t>Data governance, privacy and access rules</w:t>
      </w:r>
      <w:r>
        <w:rPr>
          <w:color w:val="000000"/>
          <w:sz w:val="22"/>
          <w:szCs w:val="22"/>
        </w:rPr>
        <w:t>: rules defining data ownership, confidentiality, ethical use, role-based access, security, and conditions for sharing data across actors.</w:t>
      </w:r>
    </w:p>
    <w:p w14:paraId="5EF4EBB3" w14:textId="77777777" w:rsidR="004A54E0" w:rsidRDefault="004A54E0" w:rsidP="004A54E0">
      <w:pPr>
        <w:numPr>
          <w:ilvl w:val="0"/>
          <w:numId w:val="3"/>
        </w:numPr>
        <w:pBdr>
          <w:top w:val="nil"/>
          <w:left w:val="nil"/>
          <w:bottom w:val="nil"/>
          <w:right w:val="nil"/>
          <w:between w:val="nil"/>
        </w:pBdr>
        <w:spacing w:after="120"/>
        <w:ind w:left="714" w:hanging="357"/>
        <w:rPr>
          <w:color w:val="000000"/>
          <w:sz w:val="22"/>
          <w:szCs w:val="22"/>
        </w:rPr>
      </w:pPr>
      <w:r>
        <w:rPr>
          <w:b/>
          <w:bCs/>
          <w:color w:val="000000"/>
          <w:sz w:val="22"/>
          <w:szCs w:val="22"/>
        </w:rPr>
        <w:t>Integrated infrastructure and continuity arrangements</w:t>
      </w:r>
      <w:r>
        <w:rPr>
          <w:color w:val="000000"/>
          <w:sz w:val="22"/>
          <w:szCs w:val="22"/>
        </w:rPr>
        <w:t>: a central database, data warehouse or other integrated environment, with defined arrangements for hosting, backup, cybersecurity, documentation and service-continuity.</w:t>
      </w:r>
    </w:p>
    <w:p w14:paraId="75031D06" w14:textId="77777777" w:rsidR="004A54E0" w:rsidRDefault="004A54E0" w:rsidP="004A54E0">
      <w:pPr>
        <w:numPr>
          <w:ilvl w:val="0"/>
          <w:numId w:val="3"/>
        </w:numPr>
        <w:pBdr>
          <w:top w:val="nil"/>
          <w:left w:val="nil"/>
          <w:bottom w:val="nil"/>
          <w:right w:val="nil"/>
          <w:between w:val="nil"/>
        </w:pBdr>
        <w:spacing w:after="120"/>
        <w:rPr>
          <w:color w:val="000000"/>
          <w:sz w:val="22"/>
          <w:szCs w:val="22"/>
        </w:rPr>
      </w:pPr>
      <w:r>
        <w:rPr>
          <w:b/>
          <w:bCs/>
          <w:color w:val="000000"/>
          <w:sz w:val="22"/>
          <w:szCs w:val="22"/>
        </w:rPr>
        <w:t>Tailored dissemination products for different audiences</w:t>
      </w:r>
      <w:r>
        <w:rPr>
          <w:color w:val="000000"/>
          <w:sz w:val="22"/>
          <w:szCs w:val="22"/>
        </w:rPr>
        <w:t>: different outputs adapted to user needs, such as policy dashboards, institutional feedback reports, background reports for QA/accreditation, public statistics, international reporting files or analytical briefs.</w:t>
      </w:r>
    </w:p>
    <w:p w14:paraId="137D57B5" w14:textId="77777777" w:rsidR="004A54E0" w:rsidRDefault="004A54E0" w:rsidP="004A54E0">
      <w:pPr>
        <w:numPr>
          <w:ilvl w:val="0"/>
          <w:numId w:val="3"/>
        </w:numPr>
        <w:pBdr>
          <w:top w:val="nil"/>
          <w:left w:val="nil"/>
          <w:bottom w:val="nil"/>
          <w:right w:val="nil"/>
          <w:between w:val="nil"/>
        </w:pBdr>
        <w:spacing w:after="120"/>
        <w:rPr>
          <w:color w:val="000000"/>
          <w:sz w:val="22"/>
          <w:szCs w:val="22"/>
        </w:rPr>
      </w:pPr>
      <w:r>
        <w:rPr>
          <w:b/>
          <w:bCs/>
          <w:color w:val="000000"/>
          <w:sz w:val="22"/>
          <w:szCs w:val="22"/>
        </w:rPr>
        <w:t>Capacity-building and support for data producers and HEMIS staff</w:t>
      </w:r>
      <w:r>
        <w:rPr>
          <w:color w:val="000000"/>
          <w:sz w:val="22"/>
          <w:szCs w:val="22"/>
        </w:rPr>
        <w:t>: training, technical guidance, documentation, and peer learning for institutions, agencies and staff responsible for producing, validating, managing or submitting data.</w:t>
      </w:r>
    </w:p>
    <w:p w14:paraId="4A9A7D37" w14:textId="77777777" w:rsidR="004A54E0" w:rsidRDefault="004A54E0" w:rsidP="004A54E0">
      <w:pPr>
        <w:numPr>
          <w:ilvl w:val="0"/>
          <w:numId w:val="3"/>
        </w:numPr>
        <w:pBdr>
          <w:top w:val="nil"/>
          <w:left w:val="nil"/>
          <w:bottom w:val="nil"/>
          <w:right w:val="nil"/>
          <w:between w:val="nil"/>
        </w:pBdr>
        <w:spacing w:after="120"/>
        <w:rPr>
          <w:color w:val="000000"/>
          <w:sz w:val="22"/>
          <w:szCs w:val="22"/>
        </w:rPr>
      </w:pPr>
      <w:r>
        <w:rPr>
          <w:b/>
          <w:bCs/>
          <w:color w:val="000000"/>
          <w:sz w:val="22"/>
          <w:szCs w:val="22"/>
        </w:rPr>
        <w:lastRenderedPageBreak/>
        <w:t>Data-use support mechanisms</w:t>
      </w:r>
      <w:r>
        <w:rPr>
          <w:color w:val="000000"/>
          <w:sz w:val="22"/>
          <w:szCs w:val="22"/>
        </w:rPr>
        <w:t>: training, tools, guidance or helpdesk support for policymakers, agencies, institutions and other users to interpret data, use dashboards, produce analysis and apply evidence in decision-</w:t>
      </w:r>
      <w:proofErr w:type="gramStart"/>
      <w:r>
        <w:rPr>
          <w:color w:val="000000"/>
          <w:sz w:val="22"/>
          <w:szCs w:val="22"/>
        </w:rPr>
        <w:t>making..</w:t>
      </w:r>
      <w:proofErr w:type="gramEnd"/>
    </w:p>
    <w:p w14:paraId="23C2853E" w14:textId="77777777" w:rsidR="004A54E0" w:rsidRDefault="004A54E0" w:rsidP="004A54E0">
      <w:pPr>
        <w:numPr>
          <w:ilvl w:val="0"/>
          <w:numId w:val="3"/>
        </w:numPr>
        <w:pBdr>
          <w:top w:val="nil"/>
          <w:left w:val="nil"/>
          <w:bottom w:val="nil"/>
          <w:right w:val="nil"/>
          <w:between w:val="nil"/>
        </w:pBdr>
        <w:spacing w:after="120"/>
        <w:rPr>
          <w:color w:val="000000"/>
          <w:sz w:val="22"/>
          <w:szCs w:val="22"/>
        </w:rPr>
      </w:pPr>
      <w:r>
        <w:rPr>
          <w:b/>
          <w:bCs/>
          <w:color w:val="000000"/>
          <w:sz w:val="22"/>
          <w:szCs w:val="22"/>
        </w:rPr>
        <w:t>Mechanism for review and continuous improvement</w:t>
      </w:r>
      <w:r>
        <w:rPr>
          <w:color w:val="000000"/>
          <w:sz w:val="22"/>
          <w:szCs w:val="22"/>
        </w:rPr>
        <w:t>: processes for periodically revising indicators, definitions, reporting procedures, tools and outputs based on policy needs and user feedback.</w:t>
      </w:r>
      <w:r>
        <w:br w:type="page"/>
      </w:r>
    </w:p>
    <w:p w14:paraId="787E6254" w14:textId="77777777" w:rsidR="004A54E0" w:rsidRDefault="004A54E0" w:rsidP="004A54E0">
      <w:pPr>
        <w:rPr>
          <w:b/>
          <w:bCs/>
          <w:sz w:val="22"/>
          <w:szCs w:val="22"/>
          <w:u w:val="single"/>
        </w:rPr>
      </w:pPr>
      <w:r>
        <w:rPr>
          <w:b/>
          <w:bCs/>
          <w:sz w:val="22"/>
          <w:szCs w:val="22"/>
          <w:u w:val="single"/>
        </w:rPr>
        <w:lastRenderedPageBreak/>
        <w:t xml:space="preserve">Individual exercise 3 templates </w:t>
      </w:r>
    </w:p>
    <w:p w14:paraId="238F234F" w14:textId="77777777" w:rsidR="004A54E0" w:rsidRDefault="004A54E0" w:rsidP="004A54E0">
      <w:pPr>
        <w:spacing w:before="120"/>
        <w:rPr>
          <w:i/>
          <w:iCs/>
          <w:sz w:val="21"/>
          <w:szCs w:val="21"/>
        </w:rPr>
      </w:pPr>
      <w:r>
        <w:rPr>
          <w:i/>
          <w:iCs/>
          <w:sz w:val="21"/>
          <w:szCs w:val="21"/>
        </w:rPr>
        <w:t>Template 1.</w:t>
      </w:r>
    </w:p>
    <w:tbl>
      <w:tblPr>
        <w:tblW w:w="15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4"/>
        <w:gridCol w:w="3730"/>
        <w:gridCol w:w="7601"/>
      </w:tblGrid>
      <w:tr w:rsidR="004A54E0" w14:paraId="26426719" w14:textId="77777777" w:rsidTr="006079B2">
        <w:tc>
          <w:tcPr>
            <w:tcW w:w="3964" w:type="dxa"/>
            <w:shd w:val="clear" w:color="auto" w:fill="E8E8E8"/>
          </w:tcPr>
          <w:p w14:paraId="454A4BAA" w14:textId="77777777" w:rsidR="004A54E0" w:rsidRDefault="004A54E0" w:rsidP="006079B2">
            <w:pPr>
              <w:rPr>
                <w:i/>
                <w:iCs/>
                <w:sz w:val="22"/>
                <w:szCs w:val="22"/>
              </w:rPr>
            </w:pPr>
            <w:r>
              <w:rPr>
                <w:i/>
                <w:iCs/>
                <w:sz w:val="22"/>
                <w:szCs w:val="22"/>
              </w:rPr>
              <w:t>Architecture stage</w:t>
            </w:r>
          </w:p>
        </w:tc>
        <w:tc>
          <w:tcPr>
            <w:tcW w:w="3730" w:type="dxa"/>
            <w:shd w:val="clear" w:color="auto" w:fill="E8E8E8"/>
          </w:tcPr>
          <w:p w14:paraId="4E459AEA" w14:textId="77777777" w:rsidR="004A54E0" w:rsidRDefault="004A54E0" w:rsidP="006079B2">
            <w:pPr>
              <w:rPr>
                <w:i/>
                <w:iCs/>
                <w:sz w:val="22"/>
                <w:szCs w:val="22"/>
              </w:rPr>
            </w:pPr>
            <w:r>
              <w:rPr>
                <w:i/>
                <w:iCs/>
                <w:sz w:val="22"/>
                <w:szCs w:val="22"/>
              </w:rPr>
              <w:t>Main actor(s) involved</w:t>
            </w:r>
          </w:p>
        </w:tc>
        <w:tc>
          <w:tcPr>
            <w:tcW w:w="7601" w:type="dxa"/>
            <w:shd w:val="clear" w:color="auto" w:fill="E8E8E8"/>
          </w:tcPr>
          <w:p w14:paraId="5F54DAE6" w14:textId="77777777" w:rsidR="004A54E0" w:rsidRDefault="004A54E0" w:rsidP="006079B2">
            <w:pPr>
              <w:rPr>
                <w:i/>
                <w:iCs/>
                <w:sz w:val="22"/>
                <w:szCs w:val="22"/>
              </w:rPr>
            </w:pPr>
            <w:r>
              <w:rPr>
                <w:i/>
                <w:iCs/>
                <w:sz w:val="22"/>
                <w:szCs w:val="22"/>
              </w:rPr>
              <w:t>Key technical or policy requirements to consider</w:t>
            </w:r>
          </w:p>
          <w:p w14:paraId="555E85DE" w14:textId="77777777" w:rsidR="004A54E0" w:rsidRDefault="004A54E0" w:rsidP="006079B2">
            <w:pPr>
              <w:rPr>
                <w:i/>
                <w:iCs/>
                <w:sz w:val="22"/>
                <w:szCs w:val="22"/>
              </w:rPr>
            </w:pPr>
            <w:r>
              <w:rPr>
                <w:i/>
                <w:iCs/>
                <w:sz w:val="16"/>
                <w:szCs w:val="16"/>
              </w:rPr>
              <w:t>You can refer to the examples of technical and policy requirement for HEMIS architecture in the instructions</w:t>
            </w:r>
          </w:p>
        </w:tc>
      </w:tr>
      <w:tr w:rsidR="004A54E0" w14:paraId="172E656D" w14:textId="77777777" w:rsidTr="006079B2">
        <w:trPr>
          <w:trHeight w:val="624"/>
        </w:trPr>
        <w:tc>
          <w:tcPr>
            <w:tcW w:w="3964" w:type="dxa"/>
            <w:shd w:val="clear" w:color="auto" w:fill="E8E8E8"/>
            <w:vAlign w:val="center"/>
          </w:tcPr>
          <w:p w14:paraId="5C79EE91" w14:textId="77777777" w:rsidR="004A54E0" w:rsidRDefault="004A54E0" w:rsidP="006079B2">
            <w:pPr>
              <w:rPr>
                <w:sz w:val="22"/>
                <w:szCs w:val="22"/>
              </w:rPr>
            </w:pPr>
            <w:r>
              <w:rPr>
                <w:sz w:val="22"/>
                <w:szCs w:val="22"/>
              </w:rPr>
              <w:t>Stage 1: Identifying data needs, defining indicators and key processes</w:t>
            </w:r>
          </w:p>
        </w:tc>
        <w:tc>
          <w:tcPr>
            <w:tcW w:w="3730" w:type="dxa"/>
          </w:tcPr>
          <w:p w14:paraId="4CC20B43" w14:textId="77777777" w:rsidR="004A54E0" w:rsidRDefault="004A54E0" w:rsidP="006079B2">
            <w:pPr>
              <w:rPr>
                <w:sz w:val="22"/>
                <w:szCs w:val="22"/>
              </w:rPr>
            </w:pPr>
          </w:p>
        </w:tc>
        <w:tc>
          <w:tcPr>
            <w:tcW w:w="7601" w:type="dxa"/>
          </w:tcPr>
          <w:p w14:paraId="4B36FA55" w14:textId="77777777" w:rsidR="004A54E0" w:rsidRDefault="004A54E0" w:rsidP="006079B2">
            <w:pPr>
              <w:rPr>
                <w:sz w:val="22"/>
                <w:szCs w:val="22"/>
              </w:rPr>
            </w:pPr>
          </w:p>
        </w:tc>
      </w:tr>
      <w:tr w:rsidR="004A54E0" w14:paraId="48B4D0AE" w14:textId="77777777" w:rsidTr="006079B2">
        <w:trPr>
          <w:trHeight w:val="624"/>
        </w:trPr>
        <w:tc>
          <w:tcPr>
            <w:tcW w:w="3964" w:type="dxa"/>
            <w:shd w:val="clear" w:color="auto" w:fill="E8E8E8"/>
            <w:vAlign w:val="center"/>
          </w:tcPr>
          <w:p w14:paraId="69F5B234" w14:textId="77777777" w:rsidR="004A54E0" w:rsidRDefault="004A54E0" w:rsidP="006079B2">
            <w:pPr>
              <w:rPr>
                <w:sz w:val="22"/>
                <w:szCs w:val="22"/>
              </w:rPr>
            </w:pPr>
            <w:r>
              <w:rPr>
                <w:sz w:val="22"/>
                <w:szCs w:val="22"/>
              </w:rPr>
              <w:t>Stage 2: Data production, initial checks and submission</w:t>
            </w:r>
          </w:p>
        </w:tc>
        <w:tc>
          <w:tcPr>
            <w:tcW w:w="3730" w:type="dxa"/>
          </w:tcPr>
          <w:p w14:paraId="11C26A28" w14:textId="77777777" w:rsidR="004A54E0" w:rsidRDefault="004A54E0" w:rsidP="006079B2">
            <w:pPr>
              <w:rPr>
                <w:sz w:val="22"/>
                <w:szCs w:val="22"/>
              </w:rPr>
            </w:pPr>
          </w:p>
        </w:tc>
        <w:tc>
          <w:tcPr>
            <w:tcW w:w="7601" w:type="dxa"/>
          </w:tcPr>
          <w:p w14:paraId="6A6F3E45" w14:textId="77777777" w:rsidR="004A54E0" w:rsidRDefault="004A54E0" w:rsidP="006079B2">
            <w:pPr>
              <w:rPr>
                <w:sz w:val="22"/>
                <w:szCs w:val="22"/>
              </w:rPr>
            </w:pPr>
          </w:p>
        </w:tc>
      </w:tr>
      <w:tr w:rsidR="004A54E0" w14:paraId="2A96610A" w14:textId="77777777" w:rsidTr="006079B2">
        <w:trPr>
          <w:trHeight w:val="624"/>
        </w:trPr>
        <w:tc>
          <w:tcPr>
            <w:tcW w:w="3964" w:type="dxa"/>
            <w:shd w:val="clear" w:color="auto" w:fill="E8E8E8"/>
            <w:vAlign w:val="center"/>
          </w:tcPr>
          <w:p w14:paraId="5BB68777" w14:textId="77777777" w:rsidR="004A54E0" w:rsidRDefault="004A54E0" w:rsidP="006079B2">
            <w:pPr>
              <w:rPr>
                <w:sz w:val="22"/>
                <w:szCs w:val="22"/>
              </w:rPr>
            </w:pPr>
            <w:r>
              <w:rPr>
                <w:sz w:val="22"/>
                <w:szCs w:val="22"/>
              </w:rPr>
              <w:t xml:space="preserve">Stage 3: Validation and standardisation </w:t>
            </w:r>
          </w:p>
        </w:tc>
        <w:tc>
          <w:tcPr>
            <w:tcW w:w="3730" w:type="dxa"/>
          </w:tcPr>
          <w:p w14:paraId="0477BB6C" w14:textId="77777777" w:rsidR="004A54E0" w:rsidRDefault="004A54E0" w:rsidP="006079B2">
            <w:pPr>
              <w:rPr>
                <w:sz w:val="22"/>
                <w:szCs w:val="22"/>
              </w:rPr>
            </w:pPr>
          </w:p>
        </w:tc>
        <w:tc>
          <w:tcPr>
            <w:tcW w:w="7601" w:type="dxa"/>
          </w:tcPr>
          <w:p w14:paraId="005DD3E3" w14:textId="77777777" w:rsidR="004A54E0" w:rsidRDefault="004A54E0" w:rsidP="006079B2">
            <w:pPr>
              <w:rPr>
                <w:sz w:val="22"/>
                <w:szCs w:val="22"/>
              </w:rPr>
            </w:pPr>
          </w:p>
        </w:tc>
      </w:tr>
      <w:tr w:rsidR="004A54E0" w14:paraId="4251C1CB" w14:textId="77777777" w:rsidTr="006079B2">
        <w:trPr>
          <w:trHeight w:val="624"/>
        </w:trPr>
        <w:tc>
          <w:tcPr>
            <w:tcW w:w="3964" w:type="dxa"/>
            <w:shd w:val="clear" w:color="auto" w:fill="E8E8E8"/>
            <w:vAlign w:val="center"/>
          </w:tcPr>
          <w:p w14:paraId="6615919A" w14:textId="77777777" w:rsidR="004A54E0" w:rsidRDefault="004A54E0" w:rsidP="006079B2">
            <w:pPr>
              <w:rPr>
                <w:sz w:val="22"/>
                <w:szCs w:val="22"/>
              </w:rPr>
            </w:pPr>
            <w:r>
              <w:rPr>
                <w:sz w:val="22"/>
                <w:szCs w:val="22"/>
              </w:rPr>
              <w:t>Stage 4: Data integration and management</w:t>
            </w:r>
          </w:p>
        </w:tc>
        <w:tc>
          <w:tcPr>
            <w:tcW w:w="3730" w:type="dxa"/>
          </w:tcPr>
          <w:p w14:paraId="647FA86B" w14:textId="77777777" w:rsidR="004A54E0" w:rsidRDefault="004A54E0" w:rsidP="006079B2">
            <w:pPr>
              <w:rPr>
                <w:sz w:val="22"/>
                <w:szCs w:val="22"/>
              </w:rPr>
            </w:pPr>
          </w:p>
        </w:tc>
        <w:tc>
          <w:tcPr>
            <w:tcW w:w="7601" w:type="dxa"/>
          </w:tcPr>
          <w:p w14:paraId="106D0B28" w14:textId="77777777" w:rsidR="004A54E0" w:rsidRDefault="004A54E0" w:rsidP="006079B2">
            <w:pPr>
              <w:rPr>
                <w:sz w:val="22"/>
                <w:szCs w:val="22"/>
              </w:rPr>
            </w:pPr>
          </w:p>
        </w:tc>
      </w:tr>
      <w:tr w:rsidR="004A54E0" w14:paraId="413A11FC" w14:textId="77777777" w:rsidTr="006079B2">
        <w:trPr>
          <w:trHeight w:val="624"/>
        </w:trPr>
        <w:tc>
          <w:tcPr>
            <w:tcW w:w="3964" w:type="dxa"/>
            <w:shd w:val="clear" w:color="auto" w:fill="E8E8E8"/>
            <w:vAlign w:val="center"/>
          </w:tcPr>
          <w:p w14:paraId="55844E6E" w14:textId="77777777" w:rsidR="004A54E0" w:rsidRDefault="004A54E0" w:rsidP="006079B2">
            <w:pPr>
              <w:rPr>
                <w:sz w:val="22"/>
                <w:szCs w:val="22"/>
              </w:rPr>
            </w:pPr>
            <w:r>
              <w:rPr>
                <w:sz w:val="22"/>
                <w:szCs w:val="22"/>
              </w:rPr>
              <w:t>Stage 5: Analysis, reporting and decision support</w:t>
            </w:r>
          </w:p>
        </w:tc>
        <w:tc>
          <w:tcPr>
            <w:tcW w:w="3730" w:type="dxa"/>
          </w:tcPr>
          <w:p w14:paraId="4FC1A8F4" w14:textId="77777777" w:rsidR="004A54E0" w:rsidRDefault="004A54E0" w:rsidP="006079B2">
            <w:pPr>
              <w:rPr>
                <w:sz w:val="22"/>
                <w:szCs w:val="22"/>
              </w:rPr>
            </w:pPr>
          </w:p>
        </w:tc>
        <w:tc>
          <w:tcPr>
            <w:tcW w:w="7601" w:type="dxa"/>
          </w:tcPr>
          <w:p w14:paraId="537B6E0F" w14:textId="77777777" w:rsidR="004A54E0" w:rsidRDefault="004A54E0" w:rsidP="006079B2">
            <w:pPr>
              <w:rPr>
                <w:sz w:val="22"/>
                <w:szCs w:val="22"/>
              </w:rPr>
            </w:pPr>
          </w:p>
        </w:tc>
      </w:tr>
      <w:tr w:rsidR="004A54E0" w14:paraId="29C2B945" w14:textId="77777777" w:rsidTr="006079B2">
        <w:trPr>
          <w:trHeight w:val="624"/>
        </w:trPr>
        <w:tc>
          <w:tcPr>
            <w:tcW w:w="3964" w:type="dxa"/>
            <w:shd w:val="clear" w:color="auto" w:fill="E8E8E8"/>
            <w:vAlign w:val="center"/>
          </w:tcPr>
          <w:p w14:paraId="6BD0D6E6" w14:textId="77777777" w:rsidR="004A54E0" w:rsidRDefault="004A54E0" w:rsidP="006079B2">
            <w:pPr>
              <w:rPr>
                <w:sz w:val="22"/>
                <w:szCs w:val="22"/>
              </w:rPr>
            </w:pPr>
            <w:r>
              <w:rPr>
                <w:sz w:val="22"/>
                <w:szCs w:val="22"/>
              </w:rPr>
              <w:t>Stage 6: Access and output dissemination</w:t>
            </w:r>
          </w:p>
        </w:tc>
        <w:tc>
          <w:tcPr>
            <w:tcW w:w="3730" w:type="dxa"/>
          </w:tcPr>
          <w:p w14:paraId="45D1140A" w14:textId="77777777" w:rsidR="004A54E0" w:rsidRDefault="004A54E0" w:rsidP="006079B2">
            <w:pPr>
              <w:rPr>
                <w:sz w:val="22"/>
                <w:szCs w:val="22"/>
              </w:rPr>
            </w:pPr>
          </w:p>
        </w:tc>
        <w:tc>
          <w:tcPr>
            <w:tcW w:w="7601" w:type="dxa"/>
          </w:tcPr>
          <w:p w14:paraId="00FA9F6D" w14:textId="77777777" w:rsidR="004A54E0" w:rsidRDefault="004A54E0" w:rsidP="006079B2">
            <w:pPr>
              <w:rPr>
                <w:sz w:val="22"/>
                <w:szCs w:val="22"/>
              </w:rPr>
            </w:pPr>
          </w:p>
        </w:tc>
      </w:tr>
    </w:tbl>
    <w:p w14:paraId="2E4A470A" w14:textId="77777777" w:rsidR="004A54E0" w:rsidRDefault="004A54E0" w:rsidP="004A54E0">
      <w:pPr>
        <w:spacing w:before="240"/>
        <w:rPr>
          <w:i/>
          <w:iCs/>
          <w:sz w:val="21"/>
          <w:szCs w:val="21"/>
        </w:rPr>
      </w:pPr>
      <w:r>
        <w:rPr>
          <w:i/>
          <w:iCs/>
          <w:sz w:val="21"/>
          <w:szCs w:val="21"/>
        </w:rPr>
        <w:t xml:space="preserve">Template 2 – Simplified data-flow diagram </w:t>
      </w:r>
    </w:p>
    <w:p w14:paraId="729407BC" w14:textId="77777777" w:rsidR="004A54E0" w:rsidRDefault="004A54E0" w:rsidP="004A54E0">
      <w:pPr>
        <w:rPr>
          <w:i/>
          <w:iCs/>
          <w:sz w:val="18"/>
          <w:szCs w:val="18"/>
        </w:rPr>
      </w:pPr>
      <w:r>
        <w:rPr>
          <w:i/>
          <w:iCs/>
          <w:sz w:val="18"/>
          <w:szCs w:val="18"/>
        </w:rPr>
        <w:t>use labelled arrows to show information flows: raw data submission (RD), data validation and correction loops (VC), clean data and outputs dissemination (CDO)</w:t>
      </w:r>
    </w:p>
    <w:p w14:paraId="33F9A93A" w14:textId="77777777" w:rsidR="004A54E0" w:rsidRDefault="004A54E0" w:rsidP="004A54E0">
      <w:pPr>
        <w:rPr>
          <w:u w:val="single"/>
        </w:rPr>
      </w:pPr>
    </w:p>
    <w:p w14:paraId="0BDDE3ED" w14:textId="77777777" w:rsidR="004A54E0" w:rsidRDefault="004A54E0" w:rsidP="004A54E0">
      <w:pPr>
        <w:rPr>
          <w:u w:val="single"/>
        </w:rPr>
      </w:pPr>
    </w:p>
    <w:p w14:paraId="5A7DA402" w14:textId="77777777" w:rsidR="004A54E0" w:rsidRDefault="004A54E0" w:rsidP="004A54E0">
      <w:pPr>
        <w:rPr>
          <w:b/>
          <w:bCs/>
          <w:sz w:val="22"/>
          <w:szCs w:val="22"/>
          <w:u w:val="single"/>
        </w:rPr>
      </w:pPr>
      <w:r>
        <w:rPr>
          <w:noProof/>
        </w:rPr>
        <mc:AlternateContent>
          <mc:Choice Requires="wps">
            <w:drawing>
              <wp:anchor distT="0" distB="0" distL="114300" distR="114300" simplePos="0" relativeHeight="251659264" behindDoc="0" locked="0" layoutInCell="1" hidden="0" allowOverlap="1" wp14:anchorId="0C136A43" wp14:editId="5FE05159">
                <wp:simplePos x="0" y="0"/>
                <wp:positionH relativeFrom="column">
                  <wp:posOffset>24766</wp:posOffset>
                </wp:positionH>
                <wp:positionV relativeFrom="paragraph">
                  <wp:posOffset>45719</wp:posOffset>
                </wp:positionV>
                <wp:extent cx="1497330" cy="682625"/>
                <wp:effectExtent l="0" t="0" r="0" b="0"/>
                <wp:wrapNone/>
                <wp:docPr id="1" name="Rectangle 1"/>
                <wp:cNvGraphicFramePr/>
                <a:graphic xmlns:a="http://schemas.openxmlformats.org/drawingml/2006/main">
                  <a:graphicData uri="http://schemas.microsoft.com/office/word/2010/wordprocessingShape">
                    <wps:wsp>
                      <wps:cNvSpPr/>
                      <wps:spPr>
                        <a:xfrm>
                          <a:off x="4603685" y="3445038"/>
                          <a:ext cx="1484630" cy="669925"/>
                        </a:xfrm>
                        <a:prstGeom prst="rect">
                          <a:avLst/>
                        </a:prstGeom>
                        <a:solidFill>
                          <a:schemeClr val="lt2"/>
                        </a:solidFill>
                        <a:ln w="12700" cap="flat" cmpd="sng">
                          <a:solidFill>
                            <a:srgbClr val="747474"/>
                          </a:solidFill>
                          <a:prstDash val="solid"/>
                          <a:miter lim="800000"/>
                          <a:headEnd type="none" w="sm" len="sm"/>
                          <a:tailEnd type="none" w="sm" len="sm"/>
                        </a:ln>
                      </wps:spPr>
                      <wps:txbx>
                        <w:txbxContent>
                          <w:p w14:paraId="3C695AC3" w14:textId="77777777" w:rsidR="004A54E0" w:rsidRDefault="004A54E0" w:rsidP="004A54E0">
                            <w:pPr>
                              <w:jc w:val="center"/>
                              <w:textDirection w:val="btLr"/>
                            </w:pPr>
                            <w:r>
                              <w:rPr>
                                <w:color w:val="000000"/>
                                <w:sz w:val="22"/>
                              </w:rPr>
                              <w:t>Central higher education authority (ministry)</w:t>
                            </w:r>
                          </w:p>
                        </w:txbxContent>
                      </wps:txbx>
                      <wps:bodyPr spcFirstLastPara="1" wrap="square" lIns="91425" tIns="45700" rIns="91425" bIns="45700" anchor="ctr" anchorCtr="0">
                        <a:noAutofit/>
                      </wps:bodyPr>
                    </wps:wsp>
                  </a:graphicData>
                </a:graphic>
              </wp:anchor>
            </w:drawing>
          </mc:Choice>
          <mc:Fallback>
            <w:pict>
              <v:rect w14:anchorId="0C136A43" id="Rectangle 1" o:spid="_x0000_s1026" style="position:absolute;margin-left:1.95pt;margin-top:3.6pt;width:117.9pt;height:53.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YCh3JAIAAE0EAAAOAAAAZHJzL2Uyb0RvYy54bWysVO2u2jAM/T9p7xDl/2iB0guIcjVdxjTp&#13;&#10;akO62wOYNKWR8rUk0PL2c1IG3G3SpGkgBbsxx8f2cVePvZLkxJ0XRld0PMop4ZqZWuhDRb993b6b&#13;&#10;U+ID6Bqk0byiZ+7p4/rtm1Vnl3xiWiNr7giCaL/sbEXbEOwyyzxruQI/MpZrvGyMUxDQdYesdtAh&#13;&#10;upLZJM/LrDOuts4w7j0+3QyXdJ3wm4az8KVpPA9EVhS5hXS6dO7jma1XsDw4sK1gFxrwDywUCI1J&#13;&#10;r1AbCECOTvwGpQRzxpsmjJhRmWkawXiqAasZ579U89KC5akWbI631zb5/wfLPp9e7M5hGzrrlx7N&#13;&#10;WEXfOBV/kR/pK1qU+bSczyg5V3RaFLN8Oh8ax/tAGAaMi3lRTrG/DCPKcrGYzGJAdkOyzoeP3CgS&#13;&#10;jYo6HEzqF5yefRhCf4bExN5IUW+FlMmJYuBP0pET4BhlmFzAX0VJTTpkMnnIIw9ALTUSAprK1hX1&#13;&#10;+pDyvfqLd4f9FfahiN8/IUdiG/DtkD4hDOUrEVC8UqiKzvP4GR63HOoPuibhbFHxGnVPIzWvKJEc&#13;&#10;twSNJLsAQv49DpsoNfbyNp9ohX7fX4a2N/V554i3bCuQ6TP4sAOHKh5jWlQ2Jvx+BIck5CeN0lmM&#13;&#10;CxwPCckpZqlf7v5mf38DmrUGF4YFR8ngPIW0QHE02rw/BtOINMLIayBzoYuaTSK47Fdcins/Rd3e&#13;&#10;AusfAAAA//8DAFBLAwQUAAYACAAAACEAU+8aruIAAAAMAQAADwAAAGRycy9kb3ducmV2LnhtbExP&#13;&#10;20rDQBB9F/yHZQRfpN00qcam2ZSgFEFUaPUDttlpEtxLyG630a93fNKXA8M5cy7lZjKaRRx976yA&#13;&#10;xTwBhrZxqretgI/37ewemA/SKqmdRQFf6GFTXV6UslDubHcY96FlZGJ9IQV0IQwF577p0Eg/dwNa&#13;&#10;4o5uNDLQObZcjfJM5kbzNEnuuJG9pYRODvjQYfO5PxkBcft8e5Plry/fdUx13b0dn/QyCnF9NT2u&#13;&#10;Ceo1sIBT+PuA3w3UHyoqdnAnqzzTArIVCQXkKTBi02yVAzuQbLHMgVcl/z+i+gEAAP//AwBQSwEC&#13;&#10;LQAUAAYACAAAACEAtoM4kv4AAADhAQAAEwAAAAAAAAAAAAAAAAAAAAAAW0NvbnRlbnRfVHlwZXNd&#13;&#10;LnhtbFBLAQItABQABgAIAAAAIQA4/SH/1gAAAJQBAAALAAAAAAAAAAAAAAAAAC8BAABfcmVscy8u&#13;&#10;cmVsc1BLAQItABQABgAIAAAAIQAUYCh3JAIAAE0EAAAOAAAAAAAAAAAAAAAAAC4CAABkcnMvZTJv&#13;&#10;RG9jLnhtbFBLAQItABQABgAIAAAAIQBT7xqu4gAAAAwBAAAPAAAAAAAAAAAAAAAAAH4EAABkcnMv&#13;&#10;ZG93bnJldi54bWxQSwUGAAAAAAQABADzAAAAjQUAAAAA&#13;&#10;" fillcolor="#e8e8e8 [3203]" strokecolor="#747474" strokeweight="1pt">
                <v:stroke startarrowwidth="narrow" startarrowlength="short" endarrowwidth="narrow" endarrowlength="short"/>
                <v:textbox inset="2.53958mm,1.2694mm,2.53958mm,1.2694mm">
                  <w:txbxContent>
                    <w:p w14:paraId="3C695AC3" w14:textId="77777777" w:rsidR="004A54E0" w:rsidRDefault="004A54E0" w:rsidP="004A54E0">
                      <w:pPr>
                        <w:jc w:val="center"/>
                        <w:textDirection w:val="btLr"/>
                      </w:pPr>
                      <w:r>
                        <w:rPr>
                          <w:color w:val="000000"/>
                          <w:sz w:val="22"/>
                        </w:rPr>
                        <w:t>Central higher education authority (ministry)</w:t>
                      </w: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14:anchorId="3B9DA856" wp14:editId="2A4FBF63">
                <wp:simplePos x="0" y="0"/>
                <wp:positionH relativeFrom="column">
                  <wp:posOffset>2041525</wp:posOffset>
                </wp:positionH>
                <wp:positionV relativeFrom="paragraph">
                  <wp:posOffset>52705</wp:posOffset>
                </wp:positionV>
                <wp:extent cx="1497330" cy="682625"/>
                <wp:effectExtent l="0" t="0" r="0" b="0"/>
                <wp:wrapNone/>
                <wp:docPr id="5" name="Rectangle 5"/>
                <wp:cNvGraphicFramePr/>
                <a:graphic xmlns:a="http://schemas.openxmlformats.org/drawingml/2006/main">
                  <a:graphicData uri="http://schemas.microsoft.com/office/word/2010/wordprocessingShape">
                    <wps:wsp>
                      <wps:cNvSpPr/>
                      <wps:spPr>
                        <a:xfrm>
                          <a:off x="4603685" y="3445038"/>
                          <a:ext cx="1484630" cy="669925"/>
                        </a:xfrm>
                        <a:prstGeom prst="rect">
                          <a:avLst/>
                        </a:prstGeom>
                        <a:solidFill>
                          <a:schemeClr val="lt2"/>
                        </a:solidFill>
                        <a:ln w="12700" cap="flat" cmpd="sng">
                          <a:solidFill>
                            <a:srgbClr val="747474"/>
                          </a:solidFill>
                          <a:prstDash val="solid"/>
                          <a:miter lim="800000"/>
                          <a:headEnd type="none" w="sm" len="sm"/>
                          <a:tailEnd type="none" w="sm" len="sm"/>
                        </a:ln>
                      </wps:spPr>
                      <wps:txbx>
                        <w:txbxContent>
                          <w:p w14:paraId="142E19EC" w14:textId="77777777" w:rsidR="004A54E0" w:rsidRDefault="004A54E0" w:rsidP="004A54E0">
                            <w:pPr>
                              <w:jc w:val="center"/>
                              <w:textDirection w:val="btLr"/>
                            </w:pPr>
                            <w:r>
                              <w:rPr>
                                <w:color w:val="000000"/>
                                <w:sz w:val="22"/>
                              </w:rPr>
                              <w:t>Agency for quality assurance and accreditation</w:t>
                            </w:r>
                          </w:p>
                        </w:txbxContent>
                      </wps:txbx>
                      <wps:bodyPr spcFirstLastPara="1" wrap="square" lIns="91425" tIns="45700" rIns="91425" bIns="45700" anchor="ctr" anchorCtr="0">
                        <a:noAutofit/>
                      </wps:bodyPr>
                    </wps:wsp>
                  </a:graphicData>
                </a:graphic>
              </wp:anchor>
            </w:drawing>
          </mc:Choice>
          <mc:Fallback>
            <w:pict>
              <v:rect w14:anchorId="3B9DA856" id="Rectangle 5" o:spid="_x0000_s1027" style="position:absolute;margin-left:160.75pt;margin-top:4.15pt;width:117.9pt;height:53.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mf10JwIAAFQEAAAOAAAAZHJzL2Uyb0RvYy54bWysVNuO2jAQfa/Uf7D8XpJAyAIirKqlVJVW&#13;&#10;LdK2HzA4DrHkW20D4e87diiwbaVKVRPJjO3hzJmZM1k+9kqSI3deGF3TYpRTwjUzjdD7mn77unk3&#13;&#10;o8QH0A1Io3lNz9zTx9XbN8uTXfCx6YxsuCMIov3iZGvahWAXWeZZxxX4kbFc42VrnIKAW7fPGgcn&#13;&#10;RFcyG+d5lZ2Ma6wzjHuPp+vhkq4SfttyFr60reeByJoit5BWl9ZdXLPVEhZ7B7YT7EID/oGFAqEx&#13;&#10;6BVqDQHIwYnfoJRgznjThhEzKjNtKxhPOWA2Rf5LNi8dWJ5yweJ4ey2T/3+w7PPxxW4dluFk/cKj&#13;&#10;GbPoW6fiL/IjfU3LKp9Usykl55pOynKaT2ZD4XgfCEOHopyV1QTry9Cjqubz8TQ6ZDck63z4yI0i&#13;&#10;0aipw8akesHx2YfB9adLDOyNFM1GSJk2UQz8STpyBGyjDOML+CsvqckJmYwf8sgDUEuthICmsk1N&#13;&#10;vd6neK/+4t1+d4V9KOP7J+RIbA2+G8InhCF9JQKKVwpV01ken+G449B80A0JZ4uK16h7Gql5RYnk&#13;&#10;OCVoJNkFEPLvflhEqbGWt/5EK/S7nghMrIhY8WRnmvPWEW/ZRiDhZ/BhCw7FXGB0FDjG/X4Ah1zk&#13;&#10;J40KmhcldomEtCmnqWzu/mZ3fwOadQbnhgVHybB5CmmOYoe0eX8IphWpkzcyF9Yo3aSFy5jF2bjf&#13;&#10;J6/bx2D1AwAA//8DAFBLAwQUAAYACAAAACEAthYtyOMAAAAOAQAADwAAAGRycy9kb3ducmV2Lnht&#13;&#10;bExP20rDQBB9F/yHZQRfpN1cTBvSbEpQiiBVsPoB2+w2G9xLyG630a93fNKXYYZz5lzq7Ww0iXLy&#13;&#10;g7MM0mUCRNrOicH2DD7ed4sSiA/cCq6dlQy+pIdtc31V80q4i32T8RB6giLWV5yBCmGsKPWdkob7&#13;&#10;pRulRezkJsMDnlNPxcQvKG40zZJkRQ0fLDooPsoHJbvPw9kwiLvn4i5fv+y/25jpVr2envR9ZOz2&#13;&#10;Zn7c4Gg3QIKcw98H/HbA/NBgsKM7W+GJZpBnaYFUBmUOBPGiWONyRGJalECbmv6v0fwAAAD//wMA&#13;&#10;UEsBAi0AFAAGAAgAAAAhALaDOJL+AAAA4QEAABMAAAAAAAAAAAAAAAAAAAAAAFtDb250ZW50X1R5&#13;&#10;cGVzXS54bWxQSwECLQAUAAYACAAAACEAOP0h/9YAAACUAQAACwAAAAAAAAAAAAAAAAAvAQAAX3Jl&#13;&#10;bHMvLnJlbHNQSwECLQAUAAYACAAAACEABJn9dCcCAABUBAAADgAAAAAAAAAAAAAAAAAuAgAAZHJz&#13;&#10;L2Uyb0RvYy54bWxQSwECLQAUAAYACAAAACEAthYtyOMAAAAOAQAADwAAAAAAAAAAAAAAAACBBAAA&#13;&#10;ZHJzL2Rvd25yZXYueG1sUEsFBgAAAAAEAAQA8wAAAJEFAAAAAA==&#13;&#10;" fillcolor="#e8e8e8 [3203]" strokecolor="#747474" strokeweight="1pt">
                <v:stroke startarrowwidth="narrow" startarrowlength="short" endarrowwidth="narrow" endarrowlength="short"/>
                <v:textbox inset="2.53958mm,1.2694mm,2.53958mm,1.2694mm">
                  <w:txbxContent>
                    <w:p w14:paraId="142E19EC" w14:textId="77777777" w:rsidR="004A54E0" w:rsidRDefault="004A54E0" w:rsidP="004A54E0">
                      <w:pPr>
                        <w:jc w:val="center"/>
                        <w:textDirection w:val="btLr"/>
                      </w:pPr>
                      <w:r>
                        <w:rPr>
                          <w:color w:val="000000"/>
                          <w:sz w:val="22"/>
                        </w:rPr>
                        <w:t>Agency for quality assurance and accreditation</w:t>
                      </w:r>
                    </w:p>
                  </w:txbxContent>
                </v:textbox>
              </v:rect>
            </w:pict>
          </mc:Fallback>
        </mc:AlternateContent>
      </w:r>
      <w:r>
        <w:rPr>
          <w:noProof/>
        </w:rPr>
        <mc:AlternateContent>
          <mc:Choice Requires="wps">
            <w:drawing>
              <wp:anchor distT="0" distB="0" distL="114300" distR="114300" simplePos="0" relativeHeight="251661312" behindDoc="0" locked="0" layoutInCell="1" hidden="0" allowOverlap="1" wp14:anchorId="506E1221" wp14:editId="29BA5BAC">
                <wp:simplePos x="0" y="0"/>
                <wp:positionH relativeFrom="column">
                  <wp:posOffset>4114800</wp:posOffset>
                </wp:positionH>
                <wp:positionV relativeFrom="paragraph">
                  <wp:posOffset>52705</wp:posOffset>
                </wp:positionV>
                <wp:extent cx="1497330" cy="682625"/>
                <wp:effectExtent l="0" t="0" r="0" b="0"/>
                <wp:wrapNone/>
                <wp:docPr id="4" name="Rectangle 4"/>
                <wp:cNvGraphicFramePr/>
                <a:graphic xmlns:a="http://schemas.openxmlformats.org/drawingml/2006/main">
                  <a:graphicData uri="http://schemas.microsoft.com/office/word/2010/wordprocessingShape">
                    <wps:wsp>
                      <wps:cNvSpPr/>
                      <wps:spPr>
                        <a:xfrm>
                          <a:off x="4603685" y="3445038"/>
                          <a:ext cx="1484630" cy="669925"/>
                        </a:xfrm>
                        <a:prstGeom prst="rect">
                          <a:avLst/>
                        </a:prstGeom>
                        <a:solidFill>
                          <a:schemeClr val="lt2"/>
                        </a:solidFill>
                        <a:ln w="12700" cap="flat" cmpd="sng">
                          <a:solidFill>
                            <a:srgbClr val="747474"/>
                          </a:solidFill>
                          <a:prstDash val="solid"/>
                          <a:miter lim="800000"/>
                          <a:headEnd type="none" w="sm" len="sm"/>
                          <a:tailEnd type="none" w="sm" len="sm"/>
                        </a:ln>
                      </wps:spPr>
                      <wps:txbx>
                        <w:txbxContent>
                          <w:p w14:paraId="24D78161" w14:textId="77777777" w:rsidR="004A54E0" w:rsidRDefault="004A54E0" w:rsidP="004A54E0">
                            <w:pPr>
                              <w:jc w:val="center"/>
                              <w:textDirection w:val="btLr"/>
                            </w:pPr>
                            <w:r>
                              <w:rPr>
                                <w:color w:val="000000"/>
                                <w:sz w:val="22"/>
                              </w:rPr>
                              <w:t>National agency for statistics</w:t>
                            </w:r>
                          </w:p>
                        </w:txbxContent>
                      </wps:txbx>
                      <wps:bodyPr spcFirstLastPara="1" wrap="square" lIns="91425" tIns="45700" rIns="91425" bIns="45700" anchor="ctr" anchorCtr="0">
                        <a:noAutofit/>
                      </wps:bodyPr>
                    </wps:wsp>
                  </a:graphicData>
                </a:graphic>
              </wp:anchor>
            </w:drawing>
          </mc:Choice>
          <mc:Fallback>
            <w:pict>
              <v:rect w14:anchorId="506E1221" id="Rectangle 4" o:spid="_x0000_s1028" style="position:absolute;margin-left:324pt;margin-top:4.15pt;width:117.9pt;height:53.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IQg/JwIAAFQEAAAOAAAAZHJzL2Uyb0RvYy54bWysVNuO2jAQfa/Uf7D8XhIgZAERVtVSqkqr&#13;&#10;FmnbDzCOQyz5Vo8h4e87diiwbaVKVRPJjO3hzJmZM1k99lqRk/AgranoeJRTIgy3tTSHin77un03&#13;&#10;pwQCMzVT1oiKngXQx/XbN6vOLcXEtlbVwhMEMbDsXEXbENwyy4C3QjMYWScMXjbWaxZw6w9Z7VmH&#13;&#10;6Fplkzwvs8762nnLBQCeboZLuk74TSN4+NI0IAJRFUVuIa0+rfu4ZusVWx48c63kFxrsH1hoJg0G&#13;&#10;vUJtWGDk6OVvUFpyb8E2YcStzmzTSC5SDpjNOP8lm5eWOZFyweKAu5YJ/h8s/3x6cTuPZegcLAHN&#13;&#10;mEXfeB1/kR/pK1qU+bSczyg5V3RaFLN8Oh8KJ/pAODqMi3lRTrG+HD3KcrGYzKJDdkNyHsJHYTWJ&#13;&#10;RkU9NibVi52eIQyuP11iYLBK1lupVNpEMYgn5cmJYRtVmFzAX3kpQzpkMnnIIw+GWmoUC2hqV1cU&#13;&#10;zCHFe/UX8If9FfahiO+fkCOxDYN2CJ8QhvS1DCheJXVF53l8huNWsPqDqUk4O1S8Qd3TSA00JUrg&#13;&#10;lKCRZBeYVH/3wyIqg7W89Sdaod/3RGJiqRbxZG/r884TcHwrkfAzg7BjHsU8xugocIz7/cg8clGf&#13;&#10;DCpoMS6wSySkTTFLZfP3N/v7G2Z4a3FuePCUDJunkOYodsjY98dgG5k6eSNzYY3STVq4jFmcjft9&#13;&#10;8rp9DNY/AAAA//8DAFBLAwQUAAYACAAAACEABjgw1uUAAAAOAQAADwAAAGRycy9kb3ducmV2Lnht&#13;&#10;bEyP3UrDQBCF7wXfYRnBG7GbNm1d0mxKUIogKlh9gG12mgT3J2S32+jTO17pzcBwzpw5X7mdrGEJ&#13;&#10;x9B7J2E+y4Cha7zuXSvh4313K4CFqJxWxjuU8IUBttXlRakK7c/uDdM+toxCXCiUhC7GoeA8NB1a&#13;&#10;FWZ+QEfa0Y9WRVrHlutRnSncGr7IsjW3qnf0oVMD3nfYfO5PVkLaPa1u8ruX5+86LUzdvR4fzTJJ&#13;&#10;eX01PWxo1BtgEaf4dwG/DNQfKip28CenAzMS1ktBQFGCyIGRLkROPAcyzlcCeFXy/xjVDwAAAP//&#13;&#10;AwBQSwECLQAUAAYACAAAACEAtoM4kv4AAADhAQAAEwAAAAAAAAAAAAAAAAAAAAAAW0NvbnRlbnRf&#13;&#10;VHlwZXNdLnhtbFBLAQItABQABgAIAAAAIQA4/SH/1gAAAJQBAAALAAAAAAAAAAAAAAAAAC8BAABf&#13;&#10;cmVscy8ucmVsc1BLAQItABQABgAIAAAAIQDdIQg/JwIAAFQEAAAOAAAAAAAAAAAAAAAAAC4CAABk&#13;&#10;cnMvZTJvRG9jLnhtbFBLAQItABQABgAIAAAAIQAGODDW5QAAAA4BAAAPAAAAAAAAAAAAAAAAAIEE&#13;&#10;AABkcnMvZG93bnJldi54bWxQSwUGAAAAAAQABADzAAAAkwUAAAAA&#13;&#10;" fillcolor="#e8e8e8 [3203]" strokecolor="#747474" strokeweight="1pt">
                <v:stroke startarrowwidth="narrow" startarrowlength="short" endarrowwidth="narrow" endarrowlength="short"/>
                <v:textbox inset="2.53958mm,1.2694mm,2.53958mm,1.2694mm">
                  <w:txbxContent>
                    <w:p w14:paraId="24D78161" w14:textId="77777777" w:rsidR="004A54E0" w:rsidRDefault="004A54E0" w:rsidP="004A54E0">
                      <w:pPr>
                        <w:jc w:val="center"/>
                        <w:textDirection w:val="btLr"/>
                      </w:pPr>
                      <w:r>
                        <w:rPr>
                          <w:color w:val="000000"/>
                          <w:sz w:val="22"/>
                        </w:rPr>
                        <w:t>National agency for statistics</w:t>
                      </w:r>
                    </w:p>
                  </w:txbxContent>
                </v:textbox>
              </v:rect>
            </w:pict>
          </mc:Fallback>
        </mc:AlternateContent>
      </w:r>
      <w:r>
        <w:rPr>
          <w:noProof/>
        </w:rPr>
        <mc:AlternateContent>
          <mc:Choice Requires="wps">
            <w:drawing>
              <wp:anchor distT="0" distB="0" distL="114300" distR="114300" simplePos="0" relativeHeight="251662336" behindDoc="0" locked="0" layoutInCell="1" hidden="0" allowOverlap="1" wp14:anchorId="6D5BAD99" wp14:editId="711FB7CC">
                <wp:simplePos x="0" y="0"/>
                <wp:positionH relativeFrom="column">
                  <wp:posOffset>8236584</wp:posOffset>
                </wp:positionH>
                <wp:positionV relativeFrom="paragraph">
                  <wp:posOffset>48097</wp:posOffset>
                </wp:positionV>
                <wp:extent cx="1484630" cy="682625"/>
                <wp:effectExtent l="0" t="0" r="0" b="0"/>
                <wp:wrapNone/>
                <wp:docPr id="2" name="Rectangle 2"/>
                <wp:cNvGraphicFramePr/>
                <a:graphic xmlns:a="http://schemas.openxmlformats.org/drawingml/2006/main">
                  <a:graphicData uri="http://schemas.microsoft.com/office/word/2010/wordprocessingShape">
                    <wps:wsp>
                      <wps:cNvSpPr/>
                      <wps:spPr>
                        <a:xfrm>
                          <a:off x="4610035" y="3445038"/>
                          <a:ext cx="1471930" cy="669925"/>
                        </a:xfrm>
                        <a:prstGeom prst="rect">
                          <a:avLst/>
                        </a:prstGeom>
                        <a:solidFill>
                          <a:schemeClr val="lt2"/>
                        </a:solidFill>
                        <a:ln w="12700" cap="flat" cmpd="sng">
                          <a:solidFill>
                            <a:srgbClr val="747474"/>
                          </a:solidFill>
                          <a:prstDash val="solid"/>
                          <a:miter lim="800000"/>
                          <a:headEnd type="none" w="sm" len="sm"/>
                          <a:tailEnd type="none" w="sm" len="sm"/>
                        </a:ln>
                      </wps:spPr>
                      <wps:txbx>
                        <w:txbxContent>
                          <w:p w14:paraId="4782BAD7" w14:textId="77777777" w:rsidR="004A54E0" w:rsidRDefault="004A54E0" w:rsidP="004A54E0">
                            <w:pPr>
                              <w:jc w:val="center"/>
                              <w:textDirection w:val="btLr"/>
                            </w:pPr>
                            <w:r>
                              <w:rPr>
                                <w:color w:val="000000"/>
                                <w:sz w:val="22"/>
                              </w:rPr>
                              <w:t>International organizations, partners and donors</w:t>
                            </w:r>
                          </w:p>
                        </w:txbxContent>
                      </wps:txbx>
                      <wps:bodyPr spcFirstLastPara="1" wrap="square" lIns="91425" tIns="45700" rIns="91425" bIns="45700" anchor="ctr" anchorCtr="0">
                        <a:noAutofit/>
                      </wps:bodyPr>
                    </wps:wsp>
                  </a:graphicData>
                </a:graphic>
              </wp:anchor>
            </w:drawing>
          </mc:Choice>
          <mc:Fallback>
            <w:pict>
              <v:rect w14:anchorId="6D5BAD99" id="Rectangle 2" o:spid="_x0000_s1029" style="position:absolute;margin-left:648.55pt;margin-top:3.8pt;width:116.9pt;height:53.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JqpWJwIAAFQEAAAOAAAAZHJzL2Uyb0RvYy54bWysVNuO2jAQfa/Uf7D8XpJAYAERVtVSqkqr&#13;&#10;FmnbDzCOQyz5Vo8h4e87diiwbaVKVRPJjO3hzJmZM1k99lqRk/AgraloMcopEYbbWppDRb993b6b&#13;&#10;UwKBmZopa0RFzwLo4/rtm1XnlmJsW6tq4QmCGFh2rqJtCG6ZZcBboRmMrBMGLxvrNQu49Yes9qxD&#13;&#10;dK2ycZ7Pss762nnLBQCeboZLuk74TSN4+NI0IAJRFUVuIa0+rfu4ZusVWx48c63kFxrsH1hoJg0G&#13;&#10;vUJtWGDk6OVvUFpyb8E2YcStzmzTSC5SDphNkf+SzUvLnEi5YHHAXcsE/w+Wfz69uJ3HMnQOloBm&#13;&#10;zKJvvI6/yI/0FS1nRZ5PppScKzopy2k+mQ+FE30gHB2K8qFYTLC+HD1ms8ViPI0O2Q3JeQgfhdUk&#13;&#10;GhX12JhUL3Z6hjC4/nSJgcEqWW+lUmkTxSCelCcnhm1UYXwBf+WlDOmQyfghjzwYaqlRLKCpXV1R&#13;&#10;MIcU79VfwB/2V9iHMr5/Qo7ENgzaIXxCGNLXMqB4ldQVnefxGY5bweoPpibh7FDxBnVPIzXQlCiB&#13;&#10;U4JGkl1gUv3dD4uoDNby1p9ohX7fE4mJTSJWPNnb+rzzBBzfSiT8zCDsmEcxFxgdBY5xvx+ZRy7q&#13;&#10;k0EFLYoSu0RC2pTTVDZ/f7O/v2GGtxbnhgdPybB5CmmOYoeMfX8MtpGpkzcyF9Yo3aSFy5jF2bjf&#13;&#10;J6/bx2D9AwAA//8DAFBLAwQUAAYACAAAACEAelzBbOUAAAAQAQAADwAAAGRycy9kb3ducmV2Lnht&#13;&#10;bExP20rDQBB9F/yHZQRfxG6Smsam2ZSgFEFUaOsHbLPbbHAvIbvdRr/e6ZO+DHOYM+dSrSejSZSj&#13;&#10;751lkM4SINK2TvS2Y/C539w/AvGBW8G1s5LBt/Swrq+vKl4Kd7ZbGXehIyhifckZqBCGklLfKmm4&#13;&#10;n7lBWrwd3Wh4QDh2VIz8jOJG0yxJFtTw3qKD4oN8UrL92p0Mg7h5ze/mxfvbTxMz3aiP44t+iIzd&#13;&#10;3kzPKxzNCkiQU/j7gEsHzA81Bju4kxWeaMTZskiRy6BYALkQ8nmyBHLALc1ToHVF/xepfwEAAP//&#13;&#10;AwBQSwECLQAUAAYACAAAACEAtoM4kv4AAADhAQAAEwAAAAAAAAAAAAAAAAAAAAAAW0NvbnRlbnRf&#13;&#10;VHlwZXNdLnhtbFBLAQItABQABgAIAAAAIQA4/SH/1gAAAJQBAAALAAAAAAAAAAAAAAAAAC8BAABf&#13;&#10;cmVscy8ucmVsc1BLAQItABQABgAIAAAAIQAPJqpWJwIAAFQEAAAOAAAAAAAAAAAAAAAAAC4CAABk&#13;&#10;cnMvZTJvRG9jLnhtbFBLAQItABQABgAIAAAAIQB6XMFs5QAAABABAAAPAAAAAAAAAAAAAAAAAIEE&#13;&#10;AABkcnMvZG93bnJldi54bWxQSwUGAAAAAAQABADzAAAAkwUAAAAA&#13;&#10;" fillcolor="#e8e8e8 [3203]" strokecolor="#747474" strokeweight="1pt">
                <v:stroke startarrowwidth="narrow" startarrowlength="short" endarrowwidth="narrow" endarrowlength="short"/>
                <v:textbox inset="2.53958mm,1.2694mm,2.53958mm,1.2694mm">
                  <w:txbxContent>
                    <w:p w14:paraId="4782BAD7" w14:textId="77777777" w:rsidR="004A54E0" w:rsidRDefault="004A54E0" w:rsidP="004A54E0">
                      <w:pPr>
                        <w:jc w:val="center"/>
                        <w:textDirection w:val="btLr"/>
                      </w:pPr>
                      <w:r>
                        <w:rPr>
                          <w:color w:val="000000"/>
                          <w:sz w:val="22"/>
                        </w:rPr>
                        <w:t>International organizations, partners and donors</w:t>
                      </w:r>
                    </w:p>
                  </w:txbxContent>
                </v:textbox>
              </v:rect>
            </w:pict>
          </mc:Fallback>
        </mc:AlternateContent>
      </w:r>
      <w:r>
        <w:rPr>
          <w:noProof/>
        </w:rPr>
        <mc:AlternateContent>
          <mc:Choice Requires="wps">
            <w:drawing>
              <wp:anchor distT="0" distB="0" distL="114300" distR="114300" simplePos="0" relativeHeight="251663360" behindDoc="0" locked="0" layoutInCell="1" hidden="0" allowOverlap="1" wp14:anchorId="68DAF8A1" wp14:editId="33812B81">
                <wp:simplePos x="0" y="0"/>
                <wp:positionH relativeFrom="column">
                  <wp:posOffset>6189980</wp:posOffset>
                </wp:positionH>
                <wp:positionV relativeFrom="paragraph">
                  <wp:posOffset>54610</wp:posOffset>
                </wp:positionV>
                <wp:extent cx="1569720" cy="682625"/>
                <wp:effectExtent l="0" t="0" r="0" b="0"/>
                <wp:wrapNone/>
                <wp:docPr id="3" name="Rectangle 3"/>
                <wp:cNvGraphicFramePr/>
                <a:graphic xmlns:a="http://schemas.openxmlformats.org/drawingml/2006/main">
                  <a:graphicData uri="http://schemas.microsoft.com/office/word/2010/wordprocessingShape">
                    <wps:wsp>
                      <wps:cNvSpPr/>
                      <wps:spPr>
                        <a:xfrm>
                          <a:off x="4567490" y="3445038"/>
                          <a:ext cx="1557020" cy="669925"/>
                        </a:xfrm>
                        <a:prstGeom prst="rect">
                          <a:avLst/>
                        </a:prstGeom>
                        <a:solidFill>
                          <a:schemeClr val="lt2"/>
                        </a:solidFill>
                        <a:ln w="12700" cap="flat" cmpd="sng">
                          <a:solidFill>
                            <a:srgbClr val="747474"/>
                          </a:solidFill>
                          <a:prstDash val="solid"/>
                          <a:miter lim="800000"/>
                          <a:headEnd type="none" w="sm" len="sm"/>
                          <a:tailEnd type="none" w="sm" len="sm"/>
                        </a:ln>
                      </wps:spPr>
                      <wps:txbx>
                        <w:txbxContent>
                          <w:p w14:paraId="18E15A0A" w14:textId="77777777" w:rsidR="004A54E0" w:rsidRDefault="004A54E0" w:rsidP="004A54E0">
                            <w:pPr>
                              <w:jc w:val="center"/>
                              <w:textDirection w:val="btLr"/>
                            </w:pPr>
                            <w:r>
                              <w:rPr>
                                <w:color w:val="000000"/>
                                <w:sz w:val="22"/>
                              </w:rPr>
                              <w:t>Autonomous public and private higher education institutions</w:t>
                            </w:r>
                          </w:p>
                        </w:txbxContent>
                      </wps:txbx>
                      <wps:bodyPr spcFirstLastPara="1" wrap="square" lIns="91425" tIns="45700" rIns="91425" bIns="45700" anchor="ctr" anchorCtr="0">
                        <a:noAutofit/>
                      </wps:bodyPr>
                    </wps:wsp>
                  </a:graphicData>
                </a:graphic>
              </wp:anchor>
            </w:drawing>
          </mc:Choice>
          <mc:Fallback>
            <w:pict>
              <v:rect w14:anchorId="68DAF8A1" id="Rectangle 3" o:spid="_x0000_s1030" style="position:absolute;margin-left:487.4pt;margin-top:4.3pt;width:123.6pt;height:53.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Q6khJgIAAFQEAAAOAAAAZHJzL2Uyb0RvYy54bWysVNuK2zAQfS/0H4TeGzte50qcpWyaUlja&#13;&#10;wLYfoMhyLNCtGiV2/r4jOU2ybaFQaoMykiZnzsyc8eqx14qchAdpTUXHo5wSYbitpTlU9NvX7bs5&#13;&#10;JRCYqZmyRlT0LIA+rt++WXVuKQrbWlULTxDEwLJzFW1DcMssA94KzWBknTB42VivWcCtP2S1Zx2i&#13;&#10;a5UVeT7NOutr5y0XAHi6GS7pOuE3jeDhS9OACERVFLmFtPq07uOarVdsefDMtZJfaLB/YKGZNBj0&#13;&#10;CrVhgZGjl79Bacm9BduEEbc6s00juUg5YDbj/JdsXlrmRMoFiwPuWib4f7D88+nF7TyWoXOwBDRj&#13;&#10;Fn3jdfxFfqSvaDmZzsoFlu9c0YeynOQP86Fwog+Eo8N4MpnlBTpw9JhOF4tiEh2yG5LzED4Kq0k0&#13;&#10;KuqxMale7PQMYXD96RIDg1Wy3kql0iaKQTwpT04M26hCcQF/5aUM6ZBJMcsjD4ZaahQLaGpXVxTM&#13;&#10;IcV79Rfwh/0VdlbG90/IkdiGQTuETwhD+loGFK+SuqLzPD7DcStY/cHUJJwdKt6g7mmkBpoSJXBK&#13;&#10;0EiyC0yqv/thEZXBWt76E63Q73siMbHEOJ7sbX3eeQKObyUSfmYQdsyjmMcYHQWOcb8fmUcu6pNB&#13;&#10;BS3GJXaJhLQpsX9YNn9/s7+/YYa3FueGB0/JsHkKaY5ih4x9fwy2kamTNzIX1ijdpIXLmMXZuN8n&#13;&#10;r9vHYP0DAAD//wMAUEsDBBQABgAIAAAAIQAXofdk5QAAAA8BAAAPAAAAZHJzL2Rvd25yZXYueG1s&#13;&#10;TI9fS8MwFMXfBb9DuIIv4tLG2c2u6SjKEIYKTj9A1mRNMX9Kk2XVT+/dk75c7uVwzv2daj1ZQ5Ia&#13;&#10;Q+8dh3yWAVGu9bJ3HYfPj83tEkiIwklhvFMcvlWAdX15UYlS+pN7V2kXO4IhLpSCg45xKCkNrVZW&#13;&#10;hJkflEPt4EcrIp5jR+UoThhuDWVZVlAreocftBjUo1bt1+5oOaTN9v7mbvH68tMkZhr9dng288T5&#13;&#10;9dX0tMLRrIBENcU/B5w7ID/UCLb3RycDMRweFnPkjxyWBZCzzhjDhnvc8iIHWlf0f4/6FwAA//8D&#13;&#10;AFBLAQItABQABgAIAAAAIQC2gziS/gAAAOEBAAATAAAAAAAAAAAAAAAAAAAAAABbQ29udGVudF9U&#13;&#10;eXBlc10ueG1sUEsBAi0AFAAGAAgAAAAhADj9If/WAAAAlAEAAAsAAAAAAAAAAAAAAAAALwEAAF9y&#13;&#10;ZWxzLy5yZWxzUEsBAi0AFAAGAAgAAAAhAFlDqSEmAgAAVAQAAA4AAAAAAAAAAAAAAAAALgIAAGRy&#13;&#10;cy9lMm9Eb2MueG1sUEsBAi0AFAAGAAgAAAAhABeh92TlAAAADwEAAA8AAAAAAAAAAAAAAAAAgAQA&#13;&#10;AGRycy9kb3ducmV2LnhtbFBLBQYAAAAABAAEAPMAAACSBQAAAAA=&#13;&#10;" fillcolor="#e8e8e8 [3203]" strokecolor="#747474" strokeweight="1pt">
                <v:stroke startarrowwidth="narrow" startarrowlength="short" endarrowwidth="narrow" endarrowlength="short"/>
                <v:textbox inset="2.53958mm,1.2694mm,2.53958mm,1.2694mm">
                  <w:txbxContent>
                    <w:p w14:paraId="18E15A0A" w14:textId="77777777" w:rsidR="004A54E0" w:rsidRDefault="004A54E0" w:rsidP="004A54E0">
                      <w:pPr>
                        <w:jc w:val="center"/>
                        <w:textDirection w:val="btLr"/>
                      </w:pPr>
                      <w:r>
                        <w:rPr>
                          <w:color w:val="000000"/>
                          <w:sz w:val="22"/>
                        </w:rPr>
                        <w:t>Autonomous public and private higher education institutions</w:t>
                      </w:r>
                    </w:p>
                  </w:txbxContent>
                </v:textbox>
              </v:rect>
            </w:pict>
          </mc:Fallback>
        </mc:AlternateContent>
      </w:r>
    </w:p>
    <w:p w14:paraId="2109C150" w14:textId="77777777" w:rsidR="004A54E0" w:rsidRDefault="004A54E0" w:rsidP="004A54E0">
      <w:pPr>
        <w:rPr>
          <w:b/>
          <w:bCs/>
          <w:sz w:val="22"/>
          <w:szCs w:val="22"/>
          <w:u w:val="single"/>
        </w:rPr>
      </w:pPr>
    </w:p>
    <w:p w14:paraId="0E49D2B6" w14:textId="77777777" w:rsidR="004A54E0" w:rsidRDefault="004A54E0" w:rsidP="004A54E0">
      <w:pPr>
        <w:rPr>
          <w:b/>
          <w:bCs/>
          <w:sz w:val="22"/>
          <w:szCs w:val="22"/>
          <w:u w:val="single"/>
        </w:rPr>
      </w:pPr>
    </w:p>
    <w:p w14:paraId="41254FE2" w14:textId="77777777" w:rsidR="004A54E0" w:rsidRDefault="004A54E0" w:rsidP="004A54E0">
      <w:pPr>
        <w:rPr>
          <w:b/>
          <w:bCs/>
          <w:sz w:val="22"/>
          <w:szCs w:val="22"/>
          <w:u w:val="single"/>
        </w:rPr>
      </w:pPr>
    </w:p>
    <w:p w14:paraId="4F765AAE" w14:textId="77777777" w:rsidR="004A54E0" w:rsidRDefault="004A54E0" w:rsidP="004A54E0">
      <w:pPr>
        <w:rPr>
          <w:b/>
          <w:bCs/>
          <w:sz w:val="22"/>
          <w:szCs w:val="22"/>
          <w:u w:val="single"/>
        </w:rPr>
      </w:pPr>
    </w:p>
    <w:p w14:paraId="0A81AD4A" w14:textId="77777777" w:rsidR="004A54E0" w:rsidRDefault="004A54E0" w:rsidP="004A54E0">
      <w:pPr>
        <w:rPr>
          <w:b/>
          <w:bCs/>
          <w:sz w:val="22"/>
          <w:szCs w:val="22"/>
          <w:u w:val="single"/>
        </w:rPr>
      </w:pPr>
    </w:p>
    <w:p w14:paraId="2BE1AED3" w14:textId="77777777" w:rsidR="004A54E0" w:rsidRDefault="004A54E0" w:rsidP="004A54E0">
      <w:pPr>
        <w:spacing w:before="120"/>
        <w:rPr>
          <w:i/>
          <w:iCs/>
          <w:sz w:val="21"/>
          <w:szCs w:val="21"/>
        </w:rPr>
      </w:pPr>
    </w:p>
    <w:p w14:paraId="0BFC9E4F" w14:textId="77777777" w:rsidR="004A54E0" w:rsidRDefault="004A54E0" w:rsidP="004A54E0">
      <w:pPr>
        <w:spacing w:before="120"/>
        <w:rPr>
          <w:i/>
          <w:iCs/>
          <w:sz w:val="21"/>
          <w:szCs w:val="21"/>
        </w:rPr>
      </w:pPr>
      <w:r>
        <w:rPr>
          <w:i/>
          <w:iCs/>
          <w:sz w:val="21"/>
          <w:szCs w:val="21"/>
        </w:rPr>
        <w:t>Template 3 – Concluding remarks</w:t>
      </w:r>
    </w:p>
    <w:tbl>
      <w:tblPr>
        <w:tblW w:w="15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65"/>
        <w:gridCol w:w="9630"/>
      </w:tblGrid>
      <w:tr w:rsidR="004A54E0" w14:paraId="6BE56856" w14:textId="77777777" w:rsidTr="006079B2">
        <w:trPr>
          <w:trHeight w:val="537"/>
        </w:trPr>
        <w:tc>
          <w:tcPr>
            <w:tcW w:w="5665" w:type="dxa"/>
            <w:shd w:val="clear" w:color="auto" w:fill="E8E8E8"/>
            <w:vAlign w:val="center"/>
          </w:tcPr>
          <w:p w14:paraId="75520560" w14:textId="77777777" w:rsidR="004A54E0" w:rsidRDefault="004A54E0" w:rsidP="006079B2">
            <w:pPr>
              <w:rPr>
                <w:sz w:val="22"/>
                <w:szCs w:val="22"/>
              </w:rPr>
            </w:pPr>
            <w:r>
              <w:rPr>
                <w:sz w:val="22"/>
                <w:szCs w:val="22"/>
              </w:rPr>
              <w:lastRenderedPageBreak/>
              <w:t>What is the most important coordination issue to address in the system?</w:t>
            </w:r>
          </w:p>
        </w:tc>
        <w:tc>
          <w:tcPr>
            <w:tcW w:w="9630" w:type="dxa"/>
          </w:tcPr>
          <w:p w14:paraId="66A53B6B" w14:textId="77777777" w:rsidR="004A54E0" w:rsidRDefault="004A54E0" w:rsidP="006079B2">
            <w:pPr>
              <w:rPr>
                <w:sz w:val="22"/>
                <w:szCs w:val="22"/>
              </w:rPr>
            </w:pPr>
          </w:p>
        </w:tc>
      </w:tr>
      <w:tr w:rsidR="004A54E0" w14:paraId="5E86A164" w14:textId="77777777" w:rsidTr="006079B2">
        <w:trPr>
          <w:trHeight w:val="537"/>
        </w:trPr>
        <w:tc>
          <w:tcPr>
            <w:tcW w:w="5665" w:type="dxa"/>
            <w:shd w:val="clear" w:color="auto" w:fill="E8E8E8"/>
            <w:vAlign w:val="center"/>
          </w:tcPr>
          <w:p w14:paraId="5AE09DBB" w14:textId="77777777" w:rsidR="004A54E0" w:rsidRDefault="004A54E0" w:rsidP="006079B2">
            <w:pPr>
              <w:rPr>
                <w:sz w:val="22"/>
                <w:szCs w:val="22"/>
              </w:rPr>
            </w:pPr>
            <w:r>
              <w:rPr>
                <w:sz w:val="22"/>
                <w:szCs w:val="22"/>
              </w:rPr>
              <w:t>What is the most important feature or arrangement to ensure interoperability in the system?</w:t>
            </w:r>
          </w:p>
        </w:tc>
        <w:tc>
          <w:tcPr>
            <w:tcW w:w="9630" w:type="dxa"/>
          </w:tcPr>
          <w:p w14:paraId="760FFDC0" w14:textId="77777777" w:rsidR="004A54E0" w:rsidRDefault="004A54E0" w:rsidP="006079B2">
            <w:pPr>
              <w:rPr>
                <w:sz w:val="22"/>
                <w:szCs w:val="22"/>
              </w:rPr>
            </w:pPr>
          </w:p>
        </w:tc>
      </w:tr>
      <w:tr w:rsidR="004A54E0" w14:paraId="12316599" w14:textId="77777777" w:rsidTr="006079B2">
        <w:trPr>
          <w:trHeight w:val="537"/>
        </w:trPr>
        <w:tc>
          <w:tcPr>
            <w:tcW w:w="5665" w:type="dxa"/>
            <w:shd w:val="clear" w:color="auto" w:fill="E8E8E8"/>
            <w:vAlign w:val="center"/>
          </w:tcPr>
          <w:p w14:paraId="6DEA4FDE" w14:textId="77777777" w:rsidR="004A54E0" w:rsidRDefault="004A54E0" w:rsidP="006079B2">
            <w:pPr>
              <w:rPr>
                <w:sz w:val="22"/>
                <w:szCs w:val="22"/>
              </w:rPr>
            </w:pPr>
            <w:r>
              <w:rPr>
                <w:sz w:val="22"/>
                <w:szCs w:val="22"/>
              </w:rPr>
              <w:t>What is the main risk in the proposed architecture?</w:t>
            </w:r>
          </w:p>
        </w:tc>
        <w:tc>
          <w:tcPr>
            <w:tcW w:w="9630" w:type="dxa"/>
          </w:tcPr>
          <w:p w14:paraId="5106EFFC" w14:textId="77777777" w:rsidR="004A54E0" w:rsidRDefault="004A54E0" w:rsidP="006079B2">
            <w:pPr>
              <w:rPr>
                <w:sz w:val="22"/>
                <w:szCs w:val="22"/>
              </w:rPr>
            </w:pPr>
          </w:p>
        </w:tc>
      </w:tr>
    </w:tbl>
    <w:p w14:paraId="2B5AEAE6" w14:textId="77777777" w:rsidR="00BF18B4" w:rsidRDefault="00BF18B4"/>
    <w:sectPr w:rsidR="00BF18B4" w:rsidSect="004A54E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panose1 w:val="020B0604020202020204"/>
    <w:charset w:val="00"/>
    <w:family w:val="auto"/>
    <w:pitch w:val="default"/>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ontserrat">
    <w:panose1 w:val="00000000000000000000"/>
    <w:charset w:val="00"/>
    <w:family w:val="auto"/>
    <w:pitch w:val="variable"/>
    <w:sig w:usb0="A00002FF" w:usb1="4000207B"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C495D16"/>
    <w:multiLevelType w:val="multilevel"/>
    <w:tmpl w:val="B29A66CA"/>
    <w:lvl w:ilvl="0">
      <w:start w:val="1"/>
      <w:numFmt w:val="decimal"/>
      <w:lvlText w:val="Step %1."/>
      <w:lvlJc w:val="left"/>
      <w:pPr>
        <w:ind w:left="737" w:hanging="737"/>
      </w:pPr>
      <w:rPr>
        <w:u w:val="singl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BB90776"/>
    <w:multiLevelType w:val="multilevel"/>
    <w:tmpl w:val="BBA66A18"/>
    <w:lvl w:ilvl="0">
      <w:start w:val="1"/>
      <w:numFmt w:val="decimal"/>
      <w:lvlText w:val="Step %1."/>
      <w:lvlJc w:val="left"/>
      <w:pPr>
        <w:ind w:left="737" w:hanging="737"/>
      </w:pPr>
      <w:rPr>
        <w:u w:val="singl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573386C"/>
    <w:multiLevelType w:val="multilevel"/>
    <w:tmpl w:val="B2A26A7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990183559">
    <w:abstractNumId w:val="1"/>
  </w:num>
  <w:num w:numId="2" w16cid:durableId="348288995">
    <w:abstractNumId w:val="0"/>
  </w:num>
  <w:num w:numId="3" w16cid:durableId="1436827802">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4E0"/>
    <w:rsid w:val="004A54E0"/>
    <w:rsid w:val="005C778F"/>
    <w:rsid w:val="006A1DB3"/>
    <w:rsid w:val="00836632"/>
    <w:rsid w:val="00960510"/>
    <w:rsid w:val="00A75982"/>
    <w:rsid w:val="00BF18B4"/>
    <w:rsid w:val="00DA21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B677F9C"/>
  <w15:chartTrackingRefBased/>
  <w15:docId w15:val="{A67ECB1E-1AB9-B94A-B6AC-65D1A3165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4E0"/>
    <w:pPr>
      <w:spacing w:after="0" w:line="240" w:lineRule="auto"/>
    </w:pPr>
    <w:rPr>
      <w:rFonts w:ascii="Aptos" w:eastAsia="Aptos" w:hAnsi="Aptos" w:cs="Aptos"/>
      <w:kern w:val="0"/>
      <w:lang w:eastAsia="en-GB"/>
      <w14:ligatures w14:val="none"/>
    </w:rPr>
  </w:style>
  <w:style w:type="paragraph" w:styleId="Heading1">
    <w:name w:val="heading 1"/>
    <w:basedOn w:val="Normal"/>
    <w:next w:val="Normal"/>
    <w:link w:val="Heading1Char"/>
    <w:uiPriority w:val="9"/>
    <w:qFormat/>
    <w:rsid w:val="004A54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54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54E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54E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A54E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A54E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A54E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A54E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A54E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54E0"/>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4A54E0"/>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4A54E0"/>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4A54E0"/>
    <w:rPr>
      <w:rFonts w:eastAsiaTheme="majorEastAsia" w:cstheme="majorBidi"/>
      <w:i/>
      <w:iCs/>
      <w:color w:val="0F4761" w:themeColor="accent1" w:themeShade="BF"/>
      <w:sz w:val="22"/>
      <w:lang w:val="en-US"/>
    </w:rPr>
  </w:style>
  <w:style w:type="character" w:customStyle="1" w:styleId="Heading5Char">
    <w:name w:val="Heading 5 Char"/>
    <w:basedOn w:val="DefaultParagraphFont"/>
    <w:link w:val="Heading5"/>
    <w:uiPriority w:val="9"/>
    <w:semiHidden/>
    <w:rsid w:val="004A54E0"/>
    <w:rPr>
      <w:rFonts w:eastAsiaTheme="majorEastAsia" w:cstheme="majorBidi"/>
      <w:color w:val="0F4761" w:themeColor="accent1" w:themeShade="BF"/>
      <w:sz w:val="22"/>
      <w:lang w:val="en-US"/>
    </w:rPr>
  </w:style>
  <w:style w:type="character" w:customStyle="1" w:styleId="Heading6Char">
    <w:name w:val="Heading 6 Char"/>
    <w:basedOn w:val="DefaultParagraphFont"/>
    <w:link w:val="Heading6"/>
    <w:uiPriority w:val="9"/>
    <w:semiHidden/>
    <w:rsid w:val="004A54E0"/>
    <w:rPr>
      <w:rFonts w:eastAsiaTheme="majorEastAsia" w:cstheme="majorBidi"/>
      <w:i/>
      <w:iCs/>
      <w:color w:val="595959" w:themeColor="text1" w:themeTint="A6"/>
      <w:sz w:val="22"/>
      <w:lang w:val="en-US"/>
    </w:rPr>
  </w:style>
  <w:style w:type="character" w:customStyle="1" w:styleId="Heading7Char">
    <w:name w:val="Heading 7 Char"/>
    <w:basedOn w:val="DefaultParagraphFont"/>
    <w:link w:val="Heading7"/>
    <w:uiPriority w:val="9"/>
    <w:semiHidden/>
    <w:rsid w:val="004A54E0"/>
    <w:rPr>
      <w:rFonts w:eastAsiaTheme="majorEastAsia" w:cstheme="majorBidi"/>
      <w:color w:val="595959" w:themeColor="text1" w:themeTint="A6"/>
      <w:sz w:val="22"/>
      <w:lang w:val="en-US"/>
    </w:rPr>
  </w:style>
  <w:style w:type="character" w:customStyle="1" w:styleId="Heading8Char">
    <w:name w:val="Heading 8 Char"/>
    <w:basedOn w:val="DefaultParagraphFont"/>
    <w:link w:val="Heading8"/>
    <w:uiPriority w:val="9"/>
    <w:semiHidden/>
    <w:rsid w:val="004A54E0"/>
    <w:rPr>
      <w:rFonts w:eastAsiaTheme="majorEastAsia" w:cstheme="majorBidi"/>
      <w:i/>
      <w:iCs/>
      <w:color w:val="272727" w:themeColor="text1" w:themeTint="D8"/>
      <w:sz w:val="22"/>
      <w:lang w:val="en-US"/>
    </w:rPr>
  </w:style>
  <w:style w:type="character" w:customStyle="1" w:styleId="Heading9Char">
    <w:name w:val="Heading 9 Char"/>
    <w:basedOn w:val="DefaultParagraphFont"/>
    <w:link w:val="Heading9"/>
    <w:uiPriority w:val="9"/>
    <w:semiHidden/>
    <w:rsid w:val="004A54E0"/>
    <w:rPr>
      <w:rFonts w:eastAsiaTheme="majorEastAsia" w:cstheme="majorBidi"/>
      <w:color w:val="272727" w:themeColor="text1" w:themeTint="D8"/>
      <w:sz w:val="22"/>
      <w:lang w:val="en-US"/>
    </w:rPr>
  </w:style>
  <w:style w:type="paragraph" w:styleId="Title">
    <w:name w:val="Title"/>
    <w:basedOn w:val="Normal"/>
    <w:next w:val="Normal"/>
    <w:link w:val="TitleChar"/>
    <w:uiPriority w:val="10"/>
    <w:qFormat/>
    <w:rsid w:val="004A54E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54E0"/>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4A54E0"/>
    <w:pPr>
      <w:numPr>
        <w:ilvl w:val="1"/>
      </w:numPr>
      <w:ind w:firstLine="57"/>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54E0"/>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4A54E0"/>
    <w:pPr>
      <w:spacing w:before="160"/>
      <w:jc w:val="center"/>
    </w:pPr>
    <w:rPr>
      <w:i/>
      <w:iCs/>
      <w:color w:val="404040" w:themeColor="text1" w:themeTint="BF"/>
    </w:rPr>
  </w:style>
  <w:style w:type="character" w:customStyle="1" w:styleId="QuoteChar">
    <w:name w:val="Quote Char"/>
    <w:basedOn w:val="DefaultParagraphFont"/>
    <w:link w:val="Quote"/>
    <w:uiPriority w:val="29"/>
    <w:rsid w:val="004A54E0"/>
    <w:rPr>
      <w:rFonts w:ascii="Montserrat" w:hAnsi="Montserrat"/>
      <w:i/>
      <w:iCs/>
      <w:color w:val="404040" w:themeColor="text1" w:themeTint="BF"/>
      <w:sz w:val="22"/>
      <w:lang w:val="en-US"/>
    </w:rPr>
  </w:style>
  <w:style w:type="paragraph" w:styleId="ListParagraph">
    <w:name w:val="List Paragraph"/>
    <w:basedOn w:val="Normal"/>
    <w:uiPriority w:val="34"/>
    <w:qFormat/>
    <w:rsid w:val="004A54E0"/>
    <w:pPr>
      <w:ind w:left="720"/>
      <w:contextualSpacing/>
    </w:pPr>
  </w:style>
  <w:style w:type="character" w:styleId="IntenseEmphasis">
    <w:name w:val="Intense Emphasis"/>
    <w:basedOn w:val="DefaultParagraphFont"/>
    <w:uiPriority w:val="21"/>
    <w:qFormat/>
    <w:rsid w:val="004A54E0"/>
    <w:rPr>
      <w:i/>
      <w:iCs/>
      <w:color w:val="0F4761" w:themeColor="accent1" w:themeShade="BF"/>
    </w:rPr>
  </w:style>
  <w:style w:type="paragraph" w:styleId="IntenseQuote">
    <w:name w:val="Intense Quote"/>
    <w:basedOn w:val="Normal"/>
    <w:next w:val="Normal"/>
    <w:link w:val="IntenseQuoteChar"/>
    <w:uiPriority w:val="30"/>
    <w:qFormat/>
    <w:rsid w:val="004A54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54E0"/>
    <w:rPr>
      <w:rFonts w:ascii="Montserrat" w:hAnsi="Montserrat"/>
      <w:i/>
      <w:iCs/>
      <w:color w:val="0F4761" w:themeColor="accent1" w:themeShade="BF"/>
      <w:sz w:val="22"/>
      <w:lang w:val="en-US"/>
    </w:rPr>
  </w:style>
  <w:style w:type="character" w:styleId="IntenseReference">
    <w:name w:val="Intense Reference"/>
    <w:basedOn w:val="DefaultParagraphFont"/>
    <w:uiPriority w:val="32"/>
    <w:qFormat/>
    <w:rsid w:val="004A54E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1072</Words>
  <Characters>6116</Characters>
  <Application>Microsoft Office Word</Application>
  <DocSecurity>0</DocSecurity>
  <Lines>50</Lines>
  <Paragraphs>14</Paragraphs>
  <ScaleCrop>false</ScaleCrop>
  <Company/>
  <LinksUpToDate>false</LinksUpToDate>
  <CharactersWithSpaces>7174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Kibrome M Haile</dc:creator>
  <cp:keywords/>
  <dc:description/>
  <cp:lastModifiedBy>Kibrome M Haile</cp:lastModifiedBy>
  <cp:revision>1</cp:revision>
  <dcterms:created xsi:type="dcterms:W3CDTF">2026-07-02T00:53:00Z</dcterms:created>
  <dcterms:modified xsi:type="dcterms:W3CDTF">2026-07-02T00:54:00Z</dcterms:modified>
</cp:coreProperties>
</file>