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pBdr>
          <w:top w:color="auto" w:space="0" w:sz="0" w:val="none"/>
          <w:left w:color="auto" w:space="0" w:sz="0" w:val="none"/>
          <w:bottom w:color="auto" w:space="0" w:sz="0" w:val="none"/>
          <w:right w:color="auto" w:space="0" w:sz="0" w:val="none"/>
          <w:between w:color="auto" w:space="0" w:sz="0" w:val="none"/>
        </w:pBdr>
        <w:spacing w:after="240" w:lineRule="auto"/>
        <w:rPr/>
      </w:pPr>
      <w:bookmarkStart w:colFirst="0" w:colLast="0" w:name="_k7gb2yxy6u9p" w:id="0"/>
      <w:bookmarkEnd w:id="0"/>
      <w:r w:rsidDel="00000000" w:rsidR="00000000" w:rsidRPr="00000000">
        <w:rPr>
          <w:rtl w:val="0"/>
        </w:rPr>
        <w:t xml:space="preserve">Week 1 assessment </w:t>
      </w:r>
    </w:p>
    <w:p w:rsidR="00000000" w:rsidDel="00000000" w:rsidP="00000000" w:rsidRDefault="00000000" w:rsidRPr="00000000" w14:paraId="00000002">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120" w:before="0" w:lineRule="auto"/>
        <w:rPr/>
      </w:pPr>
      <w:bookmarkStart w:colFirst="0" w:colLast="0" w:name="_2a43gsl0bexq" w:id="1"/>
      <w:bookmarkEnd w:id="1"/>
      <w:r w:rsidDel="00000000" w:rsidR="00000000" w:rsidRPr="00000000">
        <w:rPr>
          <w:rtl w:val="0"/>
        </w:rPr>
        <w:t xml:space="preserve">Institutional Reflection — Bridging the Silos</w:t>
      </w:r>
    </w:p>
    <w:p w:rsidR="00000000" w:rsidDel="00000000" w:rsidP="00000000" w:rsidRDefault="00000000" w:rsidRPr="00000000" w14:paraId="00000003">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120" w:before="0" w:lineRule="auto"/>
        <w:rPr>
          <w:b w:val="1"/>
          <w:bCs w:val="1"/>
          <w:color w:val="1f1f1f"/>
          <w:sz w:val="26"/>
          <w:szCs w:val="26"/>
        </w:rPr>
      </w:pPr>
      <w:bookmarkStart w:colFirst="0" w:colLast="0" w:name="_ax4y7i78zbp" w:id="2"/>
      <w:bookmarkEnd w:id="2"/>
      <w:r w:rsidDel="00000000" w:rsidR="00000000" w:rsidRPr="00000000">
        <w:rPr>
          <w:b w:val="1"/>
          <w:bCs w:val="1"/>
          <w:color w:val="1f1f1f"/>
          <w:sz w:val="26"/>
          <w:szCs w:val="26"/>
          <w:rtl w:val="0"/>
        </w:rPr>
        <w:t xml:space="preserve">Assessment Goal</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pacing w:after="240" w:lineRule="auto"/>
        <w:rPr>
          <w:color w:val="1f1f1f"/>
        </w:rPr>
      </w:pPr>
      <w:r w:rsidDel="00000000" w:rsidR="00000000" w:rsidRPr="00000000">
        <w:rPr>
          <w:color w:val="1f1f1f"/>
          <w:rtl w:val="0"/>
        </w:rPr>
        <w:t xml:space="preserve">This question requires you to move beyond theoretical knowledge of </w:t>
      </w:r>
      <w:r w:rsidDel="00000000" w:rsidR="00000000" w:rsidRPr="00000000">
        <w:rPr>
          <w:b w:val="1"/>
          <w:bCs w:val="1"/>
          <w:color w:val="1f1f1f"/>
          <w:rtl w:val="0"/>
        </w:rPr>
        <w:t xml:space="preserve">L.O. 1</w:t>
      </w:r>
      <w:r w:rsidDel="00000000" w:rsidR="00000000" w:rsidRPr="00000000">
        <w:rPr>
          <w:color w:val="1f1f1f"/>
          <w:rtl w:val="0"/>
        </w:rPr>
        <w:t xml:space="preserve"> (Designing solutions) and L.O. 4 (Applying ethical criteria) by enabling you to confront the real-world technical and cultural hurdles within your own organisation.</w:t>
      </w:r>
    </w:p>
    <w:p w:rsidR="00000000" w:rsidDel="00000000" w:rsidP="00000000" w:rsidRDefault="00000000" w:rsidRPr="00000000" w14:paraId="00000005">
      <w:pPr>
        <w:pBdr>
          <w:top w:color="auto" w:space="0" w:sz="0" w:val="none"/>
          <w:bottom w:color="auto" w:space="0" w:sz="0" w:val="none"/>
          <w:between w:color="auto" w:space="0" w:sz="0" w:val="none"/>
        </w:pBdr>
        <w:spacing w:after="240" w:lineRule="auto"/>
        <w:rPr>
          <w:color w:val="1f1f1f"/>
        </w:rPr>
      </w:pPr>
      <w:r w:rsidDel="00000000" w:rsidR="00000000" w:rsidRPr="00000000">
        <w:rPr>
          <w:b w:val="1"/>
          <w:bCs w:val="1"/>
          <w:color w:val="1f1f1f"/>
          <w:rtl w:val="0"/>
        </w:rPr>
        <w:t xml:space="preserve">Question</w:t>
      </w:r>
      <w:r w:rsidDel="00000000" w:rsidR="00000000" w:rsidRPr="00000000">
        <w:rPr>
          <w:color w:val="1f1f1f"/>
          <w:rtl w:val="0"/>
        </w:rPr>
        <w:t xml:space="preserve">:</w:t>
      </w:r>
    </w:p>
    <w:p w:rsidR="00000000" w:rsidDel="00000000" w:rsidP="00000000" w:rsidRDefault="00000000" w:rsidRPr="00000000" w14:paraId="00000006">
      <w:pPr>
        <w:pBdr>
          <w:top w:color="auto" w:space="0" w:sz="0" w:val="none"/>
          <w:bottom w:color="auto" w:space="0" w:sz="0" w:val="none"/>
          <w:between w:color="auto" w:space="0" w:sz="0" w:val="none"/>
        </w:pBdr>
        <w:spacing w:after="240" w:lineRule="auto"/>
        <w:rPr>
          <w:color w:val="1f1f1f"/>
        </w:rPr>
      </w:pPr>
      <w:r w:rsidDel="00000000" w:rsidR="00000000" w:rsidRPr="00000000">
        <w:rPr>
          <w:color w:val="1f1f1f"/>
          <w:rtl w:val="0"/>
        </w:rPr>
        <w:t xml:space="preserve">Reflecting on your own institutional context and the "Before Integration" state discussed in this week’s sessions (where systems like Moodle, QAIS, and HEMIS often exist as disconnected islands), answer the following:</w:t>
      </w:r>
    </w:p>
    <w:p w:rsidR="00000000" w:rsidDel="00000000" w:rsidP="00000000" w:rsidRDefault="00000000" w:rsidRPr="00000000" w14:paraId="00000007">
      <w:pPr>
        <w:pBdr>
          <w:top w:color="auto" w:space="0" w:sz="0" w:val="none"/>
          <w:bottom w:color="auto" w:space="0" w:sz="0" w:val="none"/>
          <w:between w:color="auto" w:space="0" w:sz="0" w:val="none"/>
        </w:pBdr>
        <w:spacing w:after="240" w:lineRule="auto"/>
        <w:rPr>
          <w:b w:val="1"/>
          <w:bCs w:val="1"/>
          <w:color w:val="1f1f1f"/>
        </w:rPr>
      </w:pPr>
      <w:r w:rsidDel="00000000" w:rsidR="00000000" w:rsidRPr="00000000">
        <w:rPr>
          <w:b w:val="1"/>
          <w:bCs w:val="1"/>
          <w:color w:val="1f1f1f"/>
          <w:rtl w:val="0"/>
        </w:rPr>
        <w:t xml:space="preserve">1. Identify the Silo:</w:t>
      </w:r>
    </w:p>
    <w:p w:rsidR="00000000" w:rsidDel="00000000" w:rsidP="00000000" w:rsidRDefault="00000000" w:rsidRPr="00000000" w14:paraId="00000008">
      <w:pPr>
        <w:pBdr>
          <w:top w:color="auto" w:space="0" w:sz="0" w:val="none"/>
          <w:bottom w:color="auto" w:space="0" w:sz="0" w:val="none"/>
          <w:between w:color="auto" w:space="0" w:sz="0" w:val="none"/>
        </w:pBdr>
        <w:spacing w:after="240" w:lineRule="auto"/>
        <w:rPr>
          <w:color w:val="1f1f1f"/>
        </w:rPr>
      </w:pPr>
      <w:r w:rsidDel="00000000" w:rsidR="00000000" w:rsidRPr="00000000">
        <w:rPr>
          <w:color w:val="1f1f1f"/>
          <w:rtl w:val="0"/>
        </w:rPr>
        <w:t xml:space="preserve">Identify one specific area in your institution where data is currently "siloed" (e.g., student feedback is not linked to enrollment data, or LMS engagement is not visible to the Quality Assurance unit). Describe one negative impact this fragmentation has on your institution’s efficiency or student support.</w:t>
      </w:r>
    </w:p>
    <w:p w:rsidR="00000000" w:rsidDel="00000000" w:rsidP="00000000" w:rsidRDefault="00000000" w:rsidRPr="00000000" w14:paraId="00000009">
      <w:pPr>
        <w:pBdr>
          <w:top w:color="auto" w:space="0" w:sz="0" w:val="none"/>
          <w:bottom w:color="auto" w:space="0" w:sz="0" w:val="none"/>
          <w:between w:color="auto" w:space="0" w:sz="0" w:val="none"/>
        </w:pBdr>
        <w:spacing w:after="240" w:lineRule="auto"/>
        <w:rPr>
          <w:b w:val="1"/>
          <w:bCs w:val="1"/>
          <w:color w:val="1f1f1f"/>
        </w:rPr>
      </w:pPr>
      <w:r w:rsidDel="00000000" w:rsidR="00000000" w:rsidRPr="00000000">
        <w:rPr>
          <w:b w:val="1"/>
          <w:bCs w:val="1"/>
          <w:color w:val="1f1f1f"/>
          <w:rtl w:val="0"/>
        </w:rPr>
        <w:t xml:space="preserve">2. Propose the Technical Bridge:</w:t>
      </w:r>
    </w:p>
    <w:p w:rsidR="00000000" w:rsidDel="00000000" w:rsidP="00000000" w:rsidRDefault="00000000" w:rsidRPr="00000000" w14:paraId="0000000A">
      <w:pPr>
        <w:pBdr>
          <w:top w:color="auto" w:space="0" w:sz="0" w:val="none"/>
          <w:bottom w:color="auto" w:space="0" w:sz="0" w:val="none"/>
          <w:between w:color="auto" w:space="0" w:sz="0" w:val="none"/>
        </w:pBdr>
        <w:spacing w:after="240" w:lineRule="auto"/>
        <w:rPr>
          <w:color w:val="1f1f1f"/>
        </w:rPr>
      </w:pPr>
      <w:r w:rsidDel="00000000" w:rsidR="00000000" w:rsidRPr="00000000">
        <w:rPr>
          <w:color w:val="1f1f1f"/>
          <w:rtl w:val="0"/>
        </w:rPr>
        <w:t xml:space="preserve">Based on the integration foundations covered this week, which technical mechanism (e.g., REST APIs, Shared Unique Identifiers, or a Central Data Warehouse) is the most critical first step to link this specific silo to the rest of the institutional ecosystem?. Justify why this choice is appropriate for your institution’s current ICT capacity.</w:t>
      </w:r>
    </w:p>
    <w:p w:rsidR="00000000" w:rsidDel="00000000" w:rsidP="00000000" w:rsidRDefault="00000000" w:rsidRPr="00000000" w14:paraId="0000000B">
      <w:pPr>
        <w:pBdr>
          <w:top w:color="auto" w:space="0" w:sz="0" w:val="none"/>
          <w:bottom w:color="auto" w:space="0" w:sz="0" w:val="none"/>
          <w:between w:color="auto" w:space="0" w:sz="0" w:val="none"/>
        </w:pBdr>
        <w:spacing w:after="240" w:lineRule="auto"/>
        <w:rPr>
          <w:b w:val="1"/>
          <w:bCs w:val="1"/>
          <w:color w:val="1f1f1f"/>
        </w:rPr>
      </w:pPr>
      <w:r w:rsidDel="00000000" w:rsidR="00000000" w:rsidRPr="00000000">
        <w:rPr>
          <w:b w:val="1"/>
          <w:bCs w:val="1"/>
          <w:color w:val="1f1f1f"/>
          <w:rtl w:val="0"/>
        </w:rPr>
        <w:t xml:space="preserve">3. Reflect on Required Changes:</w:t>
      </w:r>
    </w:p>
    <w:p w:rsidR="00000000" w:rsidDel="00000000" w:rsidP="00000000" w:rsidRDefault="00000000" w:rsidRPr="00000000" w14:paraId="0000000C">
      <w:pPr>
        <w:pBdr>
          <w:top w:color="auto" w:space="0" w:sz="0" w:val="none"/>
          <w:bottom w:color="auto" w:space="0" w:sz="0" w:val="none"/>
          <w:between w:color="auto" w:space="0" w:sz="0" w:val="none"/>
        </w:pBdr>
        <w:spacing w:after="240" w:lineRule="auto"/>
        <w:rPr>
          <w:color w:val="1f1f1f"/>
        </w:rPr>
      </w:pPr>
      <w:r w:rsidDel="00000000" w:rsidR="00000000" w:rsidRPr="00000000">
        <w:rPr>
          <w:color w:val="1f1f1f"/>
          <w:rtl w:val="0"/>
        </w:rPr>
        <w:t xml:space="preserve">Implementing this technical link requires more than just software; it requires institutional change. Identify:</w:t>
      </w:r>
    </w:p>
    <w:p w:rsidR="00000000" w:rsidDel="00000000" w:rsidP="00000000" w:rsidRDefault="00000000" w:rsidRPr="00000000" w14:paraId="0000000D">
      <w:pPr>
        <w:numPr>
          <w:ilvl w:val="0"/>
          <w:numId w:val="1"/>
        </w:numPr>
        <w:pBdr>
          <w:top w:color="auto" w:space="0" w:sz="0" w:val="none"/>
          <w:bottom w:color="auto" w:space="0" w:sz="0" w:val="none"/>
          <w:right w:color="auto" w:space="0" w:sz="0" w:val="none"/>
          <w:between w:color="auto" w:space="0" w:sz="0" w:val="none"/>
        </w:pBdr>
        <w:spacing w:after="0" w:afterAutospacing="0" w:lineRule="auto"/>
        <w:ind w:left="780" w:hanging="360"/>
      </w:pPr>
      <w:r w:rsidDel="00000000" w:rsidR="00000000" w:rsidRPr="00000000">
        <w:rPr>
          <w:b w:val="1"/>
          <w:bCs w:val="1"/>
          <w:color w:val="1f1f1f"/>
          <w:rtl w:val="0"/>
        </w:rPr>
        <w:t xml:space="preserve">One Ethical Change:</w:t>
      </w:r>
      <w:r w:rsidDel="00000000" w:rsidR="00000000" w:rsidRPr="00000000">
        <w:rPr>
          <w:color w:val="1f1f1f"/>
          <w:rtl w:val="0"/>
        </w:rPr>
        <w:t xml:space="preserve"> How would you update your institution’s </w:t>
      </w:r>
      <w:r w:rsidDel="00000000" w:rsidR="00000000" w:rsidRPr="00000000">
        <w:rPr>
          <w:b w:val="1"/>
          <w:bCs w:val="1"/>
          <w:color w:val="1f1f1f"/>
          <w:rtl w:val="0"/>
        </w:rPr>
        <w:t xml:space="preserve">Informed Consent</w:t>
      </w:r>
      <w:r w:rsidDel="00000000" w:rsidR="00000000" w:rsidRPr="00000000">
        <w:rPr>
          <w:color w:val="1f1f1f"/>
          <w:rtl w:val="0"/>
        </w:rPr>
        <w:t xml:space="preserve"> or </w:t>
      </w:r>
      <w:r w:rsidDel="00000000" w:rsidR="00000000" w:rsidRPr="00000000">
        <w:rPr>
          <w:b w:val="1"/>
          <w:bCs w:val="1"/>
          <w:color w:val="1f1f1f"/>
          <w:rtl w:val="0"/>
        </w:rPr>
        <w:t xml:space="preserve">Transparency</w:t>
      </w:r>
      <w:r w:rsidDel="00000000" w:rsidR="00000000" w:rsidRPr="00000000">
        <w:rPr>
          <w:color w:val="1f1f1f"/>
          <w:rtl w:val="0"/>
        </w:rPr>
        <w:t xml:space="preserve"> protocols to ensure students are aware of how their data is now being linked and used?</w:t>
      </w:r>
    </w:p>
    <w:p w:rsidR="00000000" w:rsidDel="00000000" w:rsidP="00000000" w:rsidRDefault="00000000" w:rsidRPr="00000000" w14:paraId="0000000E">
      <w:pPr>
        <w:numPr>
          <w:ilvl w:val="0"/>
          <w:numId w:val="1"/>
        </w:numPr>
        <w:pBdr>
          <w:top w:color="auto" w:space="0" w:sz="0" w:val="none"/>
          <w:bottom w:color="auto" w:space="0" w:sz="0" w:val="none"/>
          <w:right w:color="auto" w:space="0" w:sz="0" w:val="none"/>
          <w:between w:color="auto" w:space="0" w:sz="0" w:val="none"/>
        </w:pBdr>
        <w:spacing w:after="360" w:lineRule="auto"/>
        <w:ind w:left="780" w:hanging="360"/>
      </w:pPr>
      <w:r w:rsidDel="00000000" w:rsidR="00000000" w:rsidRPr="00000000">
        <w:rPr>
          <w:b w:val="1"/>
          <w:bCs w:val="1"/>
          <w:color w:val="1f1f1f"/>
          <w:rtl w:val="0"/>
        </w:rPr>
        <w:t xml:space="preserve">One Policy Change:</w:t>
      </w:r>
      <w:r w:rsidDel="00000000" w:rsidR="00000000" w:rsidRPr="00000000">
        <w:rPr>
          <w:color w:val="1f1f1f"/>
          <w:rtl w:val="0"/>
        </w:rPr>
        <w:t xml:space="preserve"> What specific </w:t>
      </w:r>
      <w:r w:rsidDel="00000000" w:rsidR="00000000" w:rsidRPr="00000000">
        <w:rPr>
          <w:b w:val="1"/>
          <w:bCs w:val="1"/>
          <w:color w:val="1f1f1f"/>
          <w:rtl w:val="0"/>
        </w:rPr>
        <w:t xml:space="preserve">governance mandate</w:t>
      </w:r>
      <w:r w:rsidDel="00000000" w:rsidR="00000000" w:rsidRPr="00000000">
        <w:rPr>
          <w:color w:val="1f1f1f"/>
          <w:rtl w:val="0"/>
        </w:rPr>
        <w:t xml:space="preserve"> or "non-negotiable" rule (e.g., requiring a shared Course Code across all departments) would be necessary to force cooperation between different administrative units?</w:t>
      </w:r>
      <w:r w:rsidDel="00000000" w:rsidR="00000000" w:rsidRPr="00000000">
        <w:br w:type="page"/>
      </w:r>
      <w:r w:rsidDel="00000000" w:rsidR="00000000" w:rsidRPr="00000000">
        <w:rPr>
          <w:rtl w:val="0"/>
        </w:rPr>
      </w:r>
    </w:p>
    <w:p w:rsidR="00000000" w:rsidDel="00000000" w:rsidP="00000000" w:rsidRDefault="00000000" w:rsidRPr="00000000" w14:paraId="0000000F">
      <w:pPr>
        <w:pBdr>
          <w:top w:color="auto" w:space="0" w:sz="0" w:val="none"/>
          <w:bottom w:color="auto" w:space="0" w:sz="0" w:val="none"/>
          <w:right w:color="auto" w:space="0" w:sz="0" w:val="none"/>
          <w:between w:color="auto" w:space="0" w:sz="0" w:val="none"/>
        </w:pBdr>
        <w:spacing w:after="240" w:before="240" w:lineRule="auto"/>
        <w:rPr>
          <w:b w:val="1"/>
          <w:bCs w:val="1"/>
          <w:color w:val="1f1f1f"/>
          <w:sz w:val="26"/>
          <w:szCs w:val="26"/>
        </w:rPr>
      </w:pPr>
      <w:r w:rsidDel="00000000" w:rsidR="00000000" w:rsidRPr="00000000">
        <w:rPr>
          <w:b w:val="1"/>
          <w:bCs w:val="1"/>
          <w:color w:val="1f1f1f"/>
          <w:sz w:val="26"/>
          <w:szCs w:val="26"/>
          <w:rtl w:val="0"/>
        </w:rPr>
        <w:t xml:space="preserve">Assessment Submission Guidelines</w:t>
      </w:r>
    </w:p>
    <w:p w:rsidR="00000000" w:rsidDel="00000000" w:rsidP="00000000" w:rsidRDefault="00000000" w:rsidRPr="00000000" w14:paraId="00000010">
      <w:pPr>
        <w:pBdr>
          <w:top w:color="auto" w:space="0" w:sz="0" w:val="none"/>
          <w:bottom w:color="auto" w:space="0" w:sz="0" w:val="none"/>
          <w:right w:color="auto" w:space="0" w:sz="0" w:val="none"/>
          <w:between w:color="auto" w:space="0" w:sz="0" w:val="none"/>
        </w:pBdr>
        <w:spacing w:after="240" w:before="240" w:lineRule="auto"/>
        <w:rPr>
          <w:color w:val="1f1f1f"/>
        </w:rPr>
      </w:pPr>
      <w:r w:rsidDel="00000000" w:rsidR="00000000" w:rsidRPr="00000000">
        <w:rPr>
          <w:b w:val="1"/>
          <w:bCs w:val="1"/>
          <w:color w:val="1f1f1f"/>
          <w:rtl w:val="0"/>
        </w:rPr>
        <w:t xml:space="preserve">Format:</w:t>
      </w:r>
      <w:r w:rsidDel="00000000" w:rsidR="00000000" w:rsidRPr="00000000">
        <w:rPr>
          <w:color w:val="1f1f1f"/>
          <w:rtl w:val="0"/>
        </w:rPr>
        <w:t xml:space="preserve"> A structured reflective document (2–3 pages).</w:t>
      </w:r>
    </w:p>
    <w:p w:rsidR="00000000" w:rsidDel="00000000" w:rsidP="00000000" w:rsidRDefault="00000000" w:rsidRPr="00000000" w14:paraId="00000011">
      <w:pPr>
        <w:pBdr>
          <w:top w:color="auto" w:space="0" w:sz="0" w:val="none"/>
          <w:bottom w:color="auto" w:space="0" w:sz="0" w:val="none"/>
          <w:right w:color="auto" w:space="0" w:sz="0" w:val="none"/>
          <w:between w:color="auto" w:space="0" w:sz="0" w:val="none"/>
        </w:pBdr>
        <w:spacing w:after="240" w:before="240" w:lineRule="auto"/>
        <w:rPr>
          <w:color w:val="1f1f1f"/>
        </w:rPr>
      </w:pPr>
      <w:r w:rsidDel="00000000" w:rsidR="00000000" w:rsidRPr="00000000">
        <w:rPr>
          <w:b w:val="1"/>
          <w:bCs w:val="1"/>
          <w:color w:val="1f1f1f"/>
          <w:rtl w:val="0"/>
        </w:rPr>
        <w:t xml:space="preserve">Expectation:</w:t>
      </w:r>
      <w:r w:rsidDel="00000000" w:rsidR="00000000" w:rsidRPr="00000000">
        <w:rPr>
          <w:color w:val="1f1f1f"/>
          <w:rtl w:val="0"/>
        </w:rPr>
        <w:t xml:space="preserve"> You need to demonstrate that linking fragmented systems—like Moodle, QAIS, and HEMIS - is not just a technical task, but requires a balance of specific tools (APIs/Shared IDs) and robust ethical safeguards to protect student privacy and ensure transparency.</w:t>
      </w:r>
    </w:p>
    <w:p w:rsidR="00000000" w:rsidDel="00000000" w:rsidP="00000000" w:rsidRDefault="00000000" w:rsidRPr="00000000" w14:paraId="00000012">
      <w:pPr>
        <w:pBdr>
          <w:top w:color="auto" w:space="0" w:sz="0" w:val="none"/>
          <w:bottom w:color="auto" w:space="0" w:sz="0" w:val="none"/>
          <w:right w:color="auto" w:space="0" w:sz="0" w:val="none"/>
          <w:between w:color="auto" w:space="0" w:sz="0" w:val="none"/>
        </w:pBdr>
        <w:spacing w:after="240" w:before="240" w:lineRule="auto"/>
        <w:rPr>
          <w:color w:val="1f1f1f"/>
        </w:rPr>
      </w:pPr>
      <w:r w:rsidDel="00000000" w:rsidR="00000000" w:rsidRPr="00000000">
        <w:rPr>
          <w:b w:val="1"/>
          <w:bCs w:val="1"/>
          <w:color w:val="1f1f1f"/>
          <w:rtl w:val="0"/>
        </w:rPr>
        <w:t xml:space="preserve">Outcome:</w:t>
      </w:r>
      <w:r w:rsidDel="00000000" w:rsidR="00000000" w:rsidRPr="00000000">
        <w:rPr>
          <w:color w:val="1f1f1f"/>
          <w:rtl w:val="0"/>
        </w:rPr>
        <w:t xml:space="preserve"> A foundational blueprint that identifies your institution's "data silos" and establishes the technical and ethical readiness needed for a unified evidence base</w:t>
      </w:r>
    </w:p>
    <w:p w:rsidR="00000000" w:rsidDel="00000000" w:rsidP="00000000" w:rsidRDefault="00000000" w:rsidRPr="00000000" w14:paraId="00000013">
      <w:pPr>
        <w:pBdr>
          <w:top w:color="auto" w:space="0" w:sz="0" w:val="none"/>
          <w:bottom w:color="auto" w:space="0" w:sz="0" w:val="none"/>
          <w:right w:color="auto" w:space="0" w:sz="0" w:val="none"/>
          <w:between w:color="auto" w:space="0" w:sz="0" w:val="none"/>
        </w:pBdr>
        <w:spacing w:after="360" w:lineRule="auto"/>
        <w:ind w:left="0" w:firstLine="0"/>
        <w:rPr>
          <w:color w:val="1f1f1f"/>
        </w:rPr>
      </w:pPr>
      <w:r w:rsidDel="00000000" w:rsidR="00000000" w:rsidRPr="00000000">
        <w:rPr>
          <w:rtl w:val="0"/>
        </w:rPr>
      </w:r>
    </w:p>
    <w:p w:rsidR="00000000" w:rsidDel="00000000" w:rsidP="00000000" w:rsidRDefault="00000000" w:rsidRPr="00000000" w14:paraId="00000014">
      <w:pPr>
        <w:pBdr>
          <w:top w:color="auto" w:space="0" w:sz="0" w:val="none"/>
          <w:bottom w:color="auto" w:space="0" w:sz="0" w:val="none"/>
          <w:right w:color="auto" w:space="0" w:sz="0" w:val="none"/>
          <w:between w:color="auto" w:space="0" w:sz="0" w:val="none"/>
        </w:pBdr>
        <w:spacing w:after="360" w:lineRule="auto"/>
        <w:ind w:left="0" w:firstLine="0"/>
        <w:rPr>
          <w:color w:val="1f1f1f"/>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