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Bdr>
          <w:top w:color="auto" w:space="0" w:sz="0" w:val="none"/>
          <w:left w:color="auto" w:space="0" w:sz="0" w:val="none"/>
          <w:bottom w:color="auto" w:space="0" w:sz="0" w:val="none"/>
          <w:right w:color="auto" w:space="0" w:sz="0" w:val="none"/>
          <w:between w:color="auto" w:space="0" w:sz="0" w:val="none"/>
        </w:pBdr>
        <w:spacing w:before="0" w:lineRule="auto"/>
        <w:jc w:val="center"/>
        <w:rPr>
          <w:b w:val="1"/>
          <w:bCs w:val="1"/>
          <w:color w:val="1f1f1f"/>
          <w:sz w:val="34"/>
          <w:szCs w:val="34"/>
        </w:rPr>
      </w:pPr>
      <w:bookmarkStart w:colFirst="0" w:colLast="0" w:name="_23jicpv6eh0c" w:id="0"/>
      <w:bookmarkEnd w:id="0"/>
      <w:r w:rsidDel="00000000" w:rsidR="00000000" w:rsidRPr="00000000">
        <w:rPr>
          <w:rtl w:val="0"/>
        </w:rPr>
        <w:t xml:space="preserve">Week 2 Final Assessment </w:t>
      </w:r>
      <w:r w:rsidDel="00000000" w:rsidR="00000000" w:rsidRPr="00000000">
        <w:rPr>
          <w:rtl w:val="0"/>
        </w:rPr>
      </w:r>
    </w:p>
    <w:p w:rsidR="00000000" w:rsidDel="00000000" w:rsidP="00000000" w:rsidRDefault="00000000" w:rsidRPr="00000000" w14:paraId="0000000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0" w:lineRule="auto"/>
        <w:rPr>
          <w:b w:val="1"/>
          <w:bCs w:val="1"/>
          <w:color w:val="1f1f1f"/>
          <w:sz w:val="34"/>
          <w:szCs w:val="34"/>
        </w:rPr>
      </w:pPr>
      <w:bookmarkStart w:colFirst="0" w:colLast="0" w:name="_rptvxmhp3lhx" w:id="1"/>
      <w:bookmarkEnd w:id="1"/>
      <w:r w:rsidDel="00000000" w:rsidR="00000000" w:rsidRPr="00000000">
        <w:rPr>
          <w:b w:val="1"/>
          <w:bCs w:val="1"/>
          <w:color w:val="1f1f1f"/>
          <w:sz w:val="34"/>
          <w:szCs w:val="34"/>
          <w:rtl w:val="0"/>
        </w:rPr>
        <w:t xml:space="preserve">Institutional Integration Action Plan</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lineRule="auto"/>
        <w:rPr>
          <w:color w:val="1f1f1f"/>
        </w:rPr>
      </w:pPr>
      <w:r w:rsidDel="00000000" w:rsidR="00000000" w:rsidRPr="00000000">
        <w:rPr>
          <w:color w:val="1f1f1f"/>
          <w:rtl w:val="0"/>
        </w:rPr>
        <w:t xml:space="preserve">This assignment is the culminating deliverable for Module 5. It requires you to synthesise the strategic lessons from Lesson 3 (Feedback-to-Action), the governance and ethical frameworks from Lesson 4 (The Integration Imperative), and the technical tools from Lesson 5 (LMS Data Capture) into a coherent Integration Action Plan for your own institution.</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lineRule="auto"/>
        <w:rPr>
          <w:b w:val="1"/>
          <w:bCs w:val="1"/>
          <w:color w:val="1f1f1f"/>
        </w:rPr>
      </w:pPr>
      <w:r w:rsidDel="00000000" w:rsidR="00000000" w:rsidRPr="00000000">
        <w:rPr>
          <w:b w:val="1"/>
          <w:bCs w:val="1"/>
          <w:color w:val="1f1f1f"/>
          <w:rtl w:val="0"/>
        </w:rPr>
        <w:t xml:space="preserve">Focus: L.O. 2, 3, &amp; 4 (Evaluating feedback, Strategic planning, and Ethical criteria).</w:t>
      </w:r>
    </w:p>
    <w:p w:rsidR="00000000" w:rsidDel="00000000" w:rsidP="00000000" w:rsidRDefault="00000000" w:rsidRPr="00000000" w14:paraId="0000000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u3a4tl8duljf" w:id="2"/>
      <w:bookmarkEnd w:id="2"/>
      <w:r w:rsidDel="00000000" w:rsidR="00000000" w:rsidRPr="00000000">
        <w:rPr>
          <w:b w:val="1"/>
          <w:bCs w:val="1"/>
          <w:color w:val="1f1f1f"/>
          <w:sz w:val="26"/>
          <w:szCs w:val="26"/>
          <w:rtl w:val="0"/>
        </w:rPr>
        <w:t xml:space="preserve">Part 1: Strategic Alignment &amp; The "Feedback-to-Action" Goal</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120" w:lineRule="auto"/>
        <w:rPr>
          <w:b w:val="1"/>
          <w:bCs w:val="1"/>
          <w:color w:val="1f1f1f"/>
        </w:rPr>
      </w:pPr>
      <w:r w:rsidDel="00000000" w:rsidR="00000000" w:rsidRPr="00000000">
        <w:rPr>
          <w:b w:val="1"/>
          <w:bCs w:val="1"/>
          <w:color w:val="1f1f1f"/>
          <w:rtl w:val="0"/>
        </w:rPr>
        <w:t xml:space="preserve">Explain how integrated data flows inform QA and strategic planning (L.O. 3)</w:t>
      </w:r>
    </w:p>
    <w:p w:rsidR="00000000" w:rsidDel="00000000" w:rsidP="00000000" w:rsidRDefault="00000000" w:rsidRPr="00000000" w14:paraId="00000007">
      <w:pPr>
        <w:numPr>
          <w:ilvl w:val="0"/>
          <w:numId w:val="4"/>
        </w:numPr>
        <w:pBdr>
          <w:top w:color="auto" w:space="0" w:sz="0" w:val="none"/>
          <w:bottom w:color="auto" w:space="0" w:sz="0" w:val="none"/>
          <w:right w:color="auto" w:space="0" w:sz="0" w:val="none"/>
          <w:between w:color="auto" w:space="0" w:sz="0" w:val="none"/>
        </w:pBdr>
        <w:spacing w:after="0" w:afterAutospacing="0" w:lineRule="auto"/>
        <w:ind w:left="780" w:hanging="360"/>
        <w:rPr>
          <w:b w:val="1"/>
          <w:bCs w:val="1"/>
        </w:rPr>
      </w:pPr>
      <w:r w:rsidDel="00000000" w:rsidR="00000000" w:rsidRPr="00000000">
        <w:rPr>
          <w:b w:val="1"/>
          <w:bCs w:val="1"/>
          <w:color w:val="1f1f1f"/>
          <w:rtl w:val="0"/>
        </w:rPr>
        <w:t xml:space="preserve">Identify a Strategic Gap: </w:t>
      </w:r>
      <w:r w:rsidDel="00000000" w:rsidR="00000000" w:rsidRPr="00000000">
        <w:rPr>
          <w:color w:val="1f1f1f"/>
          <w:rtl w:val="0"/>
        </w:rPr>
        <w:t xml:space="preserve">Describe one critical area in your institution where student feedback (e.g., course evaluations or alumni tracer studies) is currently collected but rarely leads to measurable change because it is not linked to other data.</w:t>
      </w:r>
      <w:r w:rsidDel="00000000" w:rsidR="00000000" w:rsidRPr="00000000">
        <w:rPr>
          <w:rtl w:val="0"/>
        </w:rPr>
      </w:r>
    </w:p>
    <w:p w:rsidR="00000000" w:rsidDel="00000000" w:rsidP="00000000" w:rsidRDefault="00000000" w:rsidRPr="00000000" w14:paraId="00000008">
      <w:pPr>
        <w:numPr>
          <w:ilvl w:val="0"/>
          <w:numId w:val="4"/>
        </w:numPr>
        <w:pBdr>
          <w:top w:color="auto" w:space="0" w:sz="0" w:val="none"/>
          <w:bottom w:color="auto" w:space="0" w:sz="0" w:val="none"/>
          <w:right w:color="auto" w:space="0" w:sz="0" w:val="none"/>
          <w:between w:color="auto" w:space="0" w:sz="0" w:val="none"/>
        </w:pBdr>
        <w:spacing w:after="0" w:afterAutospacing="0" w:lineRule="auto"/>
        <w:ind w:left="780" w:hanging="360"/>
        <w:rPr>
          <w:b w:val="1"/>
          <w:bCs w:val="1"/>
        </w:rPr>
      </w:pPr>
      <w:r w:rsidDel="00000000" w:rsidR="00000000" w:rsidRPr="00000000">
        <w:rPr>
          <w:b w:val="1"/>
          <w:bCs w:val="1"/>
          <w:color w:val="1f1f1f"/>
          <w:rtl w:val="0"/>
        </w:rPr>
        <w:t xml:space="preserve">The Integration Goal: </w:t>
      </w:r>
      <w:r w:rsidDel="00000000" w:rsidR="00000000" w:rsidRPr="00000000">
        <w:rPr>
          <w:color w:val="1f1f1f"/>
          <w:rtl w:val="0"/>
        </w:rPr>
        <w:t xml:space="preserve">Define one specific "Strategic Outcome" you want to achieve by linking this feedback to your central data warehouse (e.g., "Reducing first-year attrition by linking survey dissatisfaction with real-time Moodle engagement logs").</w:t>
      </w:r>
    </w:p>
    <w:p w:rsidR="00000000" w:rsidDel="00000000" w:rsidP="00000000" w:rsidRDefault="00000000" w:rsidRPr="00000000" w14:paraId="00000009">
      <w:pPr>
        <w:numPr>
          <w:ilvl w:val="0"/>
          <w:numId w:val="4"/>
        </w:numPr>
        <w:pBdr>
          <w:top w:color="auto" w:space="0" w:sz="0" w:val="none"/>
          <w:bottom w:color="auto" w:space="0" w:sz="0" w:val="none"/>
          <w:right w:color="auto" w:space="0" w:sz="0" w:val="none"/>
          <w:between w:color="auto" w:space="0" w:sz="0" w:val="none"/>
        </w:pBdr>
        <w:spacing w:after="360" w:lineRule="auto"/>
        <w:ind w:left="780" w:hanging="360"/>
        <w:rPr>
          <w:b w:val="1"/>
          <w:bCs w:val="1"/>
        </w:rPr>
      </w:pPr>
      <w:r w:rsidDel="00000000" w:rsidR="00000000" w:rsidRPr="00000000">
        <w:rPr>
          <w:b w:val="1"/>
          <w:bCs w:val="1"/>
          <w:color w:val="1f1f1f"/>
          <w:rtl w:val="0"/>
        </w:rPr>
        <w:t xml:space="preserve">KPI Definition: </w:t>
      </w:r>
      <w:r w:rsidDel="00000000" w:rsidR="00000000" w:rsidRPr="00000000">
        <w:rPr>
          <w:color w:val="1f1f1f"/>
          <w:rtl w:val="0"/>
        </w:rPr>
        <w:t xml:space="preserve">Propose one integrated Key Performance Indicator (KPI) that this new data flow will generate for your Quality Assurance unit.</w:t>
      </w:r>
    </w:p>
    <w:p w:rsidR="00000000" w:rsidDel="00000000" w:rsidP="00000000" w:rsidRDefault="00000000" w:rsidRPr="00000000" w14:paraId="0000000A">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evvmfhdbexbs" w:id="3"/>
      <w:bookmarkEnd w:id="3"/>
      <w:r w:rsidDel="00000000" w:rsidR="00000000" w:rsidRPr="00000000">
        <w:rPr>
          <w:b w:val="1"/>
          <w:bCs w:val="1"/>
          <w:color w:val="1f1f1f"/>
          <w:sz w:val="26"/>
          <w:szCs w:val="26"/>
          <w:rtl w:val="0"/>
        </w:rPr>
        <w:t xml:space="preserve">Part 2: Governance, Roles, &amp; Ethical Safeguards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120" w:lineRule="auto"/>
        <w:rPr>
          <w:b w:val="1"/>
          <w:bCs w:val="1"/>
          <w:color w:val="1f1f1f"/>
        </w:rPr>
      </w:pPr>
      <w:r w:rsidDel="00000000" w:rsidR="00000000" w:rsidRPr="00000000">
        <w:rPr>
          <w:b w:val="1"/>
          <w:bCs w:val="1"/>
          <w:color w:val="1f1f1f"/>
          <w:rtl w:val="0"/>
        </w:rPr>
        <w:t xml:space="preserve">Apply ethical criteria when evaluating data use (L.O. 4)</w:t>
      </w:r>
    </w:p>
    <w:p w:rsidR="00000000" w:rsidDel="00000000" w:rsidP="00000000" w:rsidRDefault="00000000" w:rsidRPr="00000000" w14:paraId="0000000C">
      <w:pPr>
        <w:numPr>
          <w:ilvl w:val="0"/>
          <w:numId w:val="3"/>
        </w:numPr>
        <w:pBdr>
          <w:top w:color="auto" w:space="0" w:sz="0" w:val="none"/>
          <w:bottom w:color="auto" w:space="0" w:sz="0" w:val="none"/>
          <w:right w:color="auto" w:space="0" w:sz="0" w:val="none"/>
          <w:between w:color="auto" w:space="0" w:sz="0" w:val="none"/>
        </w:pBdr>
        <w:spacing w:after="0" w:afterAutospacing="0" w:lineRule="auto"/>
        <w:ind w:left="780" w:hanging="360"/>
        <w:rPr>
          <w:b w:val="1"/>
          <w:bCs w:val="1"/>
        </w:rPr>
      </w:pPr>
      <w:r w:rsidDel="00000000" w:rsidR="00000000" w:rsidRPr="00000000">
        <w:rPr>
          <w:b w:val="1"/>
          <w:bCs w:val="1"/>
          <w:color w:val="1f1f1f"/>
          <w:rtl w:val="0"/>
        </w:rPr>
        <w:t xml:space="preserve">Assigning Accountability: </w:t>
      </w:r>
      <w:r w:rsidDel="00000000" w:rsidR="00000000" w:rsidRPr="00000000">
        <w:rPr>
          <w:color w:val="1f1f1f"/>
          <w:rtl w:val="0"/>
        </w:rPr>
        <w:t xml:space="preserve">Using the University Xyz model, identify who in your institution will serve as the Data Owner (ultimate policy authority) and the Data Steward (day-to-day quality management) for this integrated dataset. Justify why these specific offices are chosen.</w:t>
      </w:r>
    </w:p>
    <w:p w:rsidR="00000000" w:rsidDel="00000000" w:rsidP="00000000" w:rsidRDefault="00000000" w:rsidRPr="00000000" w14:paraId="0000000D">
      <w:pPr>
        <w:numPr>
          <w:ilvl w:val="0"/>
          <w:numId w:val="3"/>
        </w:numPr>
        <w:pBdr>
          <w:top w:color="auto" w:space="0" w:sz="0" w:val="none"/>
          <w:bottom w:color="auto" w:space="0" w:sz="0" w:val="none"/>
          <w:right w:color="auto" w:space="0" w:sz="0" w:val="none"/>
          <w:between w:color="auto" w:space="0" w:sz="0" w:val="none"/>
        </w:pBdr>
        <w:spacing w:after="0" w:afterAutospacing="0" w:lineRule="auto"/>
        <w:ind w:left="780" w:hanging="360"/>
        <w:rPr>
          <w:b w:val="1"/>
          <w:bCs w:val="1"/>
        </w:rPr>
      </w:pPr>
      <w:r w:rsidDel="00000000" w:rsidR="00000000" w:rsidRPr="00000000">
        <w:rPr>
          <w:b w:val="1"/>
          <w:bCs w:val="1"/>
          <w:color w:val="1f1f1f"/>
          <w:rtl w:val="0"/>
        </w:rPr>
        <w:t xml:space="preserve">Ethical Protocol: </w:t>
      </w:r>
      <w:r w:rsidDel="00000000" w:rsidR="00000000" w:rsidRPr="00000000">
        <w:rPr>
          <w:color w:val="1f1f1f"/>
          <w:rtl w:val="0"/>
        </w:rPr>
        <w:t xml:space="preserve">Select two of the following operational safeguards and explain exactly how they will be applied to your proposed dataset to protect student privacy before the data is shared with the National HE Authority or internal Faculty Deans</w:t>
      </w:r>
      <w:r w:rsidDel="00000000" w:rsidR="00000000" w:rsidRPr="00000000">
        <w:rPr>
          <w:b w:val="1"/>
          <w:bCs w:val="1"/>
          <w:color w:val="1f1f1f"/>
          <w:rtl w:val="0"/>
        </w:rPr>
        <w:t xml:space="preserve">:</w:t>
      </w:r>
    </w:p>
    <w:p w:rsidR="00000000" w:rsidDel="00000000" w:rsidP="00000000" w:rsidRDefault="00000000" w:rsidRPr="00000000" w14:paraId="0000000E">
      <w:pPr>
        <w:numPr>
          <w:ilvl w:val="1"/>
          <w:numId w:val="3"/>
        </w:numPr>
        <w:pBdr>
          <w:top w:color="auto" w:space="0" w:sz="0" w:val="none"/>
          <w:bottom w:color="auto" w:space="0" w:sz="0" w:val="none"/>
          <w:right w:color="auto" w:space="0" w:sz="0" w:val="none"/>
          <w:between w:color="auto" w:space="0" w:sz="0" w:val="none"/>
        </w:pBdr>
        <w:spacing w:after="0" w:afterAutospacing="0" w:lineRule="auto"/>
        <w:ind w:left="1500" w:hanging="360"/>
        <w:rPr>
          <w:b w:val="1"/>
          <w:bCs w:val="1"/>
        </w:rPr>
      </w:pPr>
      <w:r w:rsidDel="00000000" w:rsidR="00000000" w:rsidRPr="00000000">
        <w:rPr>
          <w:b w:val="1"/>
          <w:bCs w:val="1"/>
          <w:color w:val="1f1f1f"/>
          <w:rtl w:val="0"/>
        </w:rPr>
        <w:t xml:space="preserve">Anonymisation</w:t>
      </w:r>
      <w:r w:rsidDel="00000000" w:rsidR="00000000" w:rsidRPr="00000000">
        <w:rPr>
          <w:rtl w:val="0"/>
        </w:rPr>
      </w:r>
    </w:p>
    <w:p w:rsidR="00000000" w:rsidDel="00000000" w:rsidP="00000000" w:rsidRDefault="00000000" w:rsidRPr="00000000" w14:paraId="0000000F">
      <w:pPr>
        <w:numPr>
          <w:ilvl w:val="1"/>
          <w:numId w:val="3"/>
        </w:numPr>
        <w:pBdr>
          <w:top w:color="auto" w:space="0" w:sz="0" w:val="none"/>
          <w:bottom w:color="auto" w:space="0" w:sz="0" w:val="none"/>
          <w:right w:color="auto" w:space="0" w:sz="0" w:val="none"/>
          <w:between w:color="auto" w:space="0" w:sz="0" w:val="none"/>
        </w:pBdr>
        <w:spacing w:after="0" w:afterAutospacing="0" w:lineRule="auto"/>
        <w:ind w:left="1500" w:hanging="360"/>
        <w:rPr>
          <w:b w:val="1"/>
          <w:bCs w:val="1"/>
        </w:rPr>
      </w:pPr>
      <w:r w:rsidDel="00000000" w:rsidR="00000000" w:rsidRPr="00000000">
        <w:rPr>
          <w:b w:val="1"/>
          <w:bCs w:val="1"/>
          <w:color w:val="1f1f1f"/>
          <w:rtl w:val="0"/>
        </w:rPr>
        <w:t xml:space="preserve">Aggregation Rules (Minimum group size of 10)</w:t>
      </w:r>
      <w:r w:rsidDel="00000000" w:rsidR="00000000" w:rsidRPr="00000000">
        <w:rPr>
          <w:rtl w:val="0"/>
        </w:rPr>
      </w:r>
    </w:p>
    <w:p w:rsidR="00000000" w:rsidDel="00000000" w:rsidP="00000000" w:rsidRDefault="00000000" w:rsidRPr="00000000" w14:paraId="00000010">
      <w:pPr>
        <w:numPr>
          <w:ilvl w:val="1"/>
          <w:numId w:val="3"/>
        </w:numPr>
        <w:pBdr>
          <w:top w:color="auto" w:space="0" w:sz="0" w:val="none"/>
          <w:bottom w:color="auto" w:space="0" w:sz="0" w:val="none"/>
          <w:right w:color="auto" w:space="0" w:sz="0" w:val="none"/>
          <w:between w:color="auto" w:space="0" w:sz="0" w:val="none"/>
        </w:pBdr>
        <w:spacing w:after="0" w:afterAutospacing="0" w:lineRule="auto"/>
        <w:ind w:left="1500" w:hanging="360"/>
        <w:rPr>
          <w:b w:val="1"/>
          <w:bCs w:val="1"/>
        </w:rPr>
      </w:pPr>
      <w:r w:rsidDel="00000000" w:rsidR="00000000" w:rsidRPr="00000000">
        <w:rPr>
          <w:b w:val="1"/>
          <w:bCs w:val="1"/>
          <w:color w:val="1f1f1f"/>
          <w:rtl w:val="0"/>
        </w:rPr>
        <w:t xml:space="preserve">Pseudonymisation</w:t>
      </w:r>
      <w:r w:rsidDel="00000000" w:rsidR="00000000" w:rsidRPr="00000000">
        <w:rPr>
          <w:rtl w:val="0"/>
        </w:rPr>
      </w:r>
    </w:p>
    <w:p w:rsidR="00000000" w:rsidDel="00000000" w:rsidP="00000000" w:rsidRDefault="00000000" w:rsidRPr="00000000" w14:paraId="00000011">
      <w:pPr>
        <w:numPr>
          <w:ilvl w:val="0"/>
          <w:numId w:val="3"/>
        </w:numPr>
        <w:pBdr>
          <w:top w:color="auto" w:space="0" w:sz="0" w:val="none"/>
          <w:bottom w:color="auto" w:space="0" w:sz="0" w:val="none"/>
          <w:right w:color="auto" w:space="0" w:sz="0" w:val="none"/>
          <w:between w:color="auto" w:space="0" w:sz="0" w:val="none"/>
        </w:pBdr>
        <w:spacing w:after="360" w:lineRule="auto"/>
        <w:ind w:left="780" w:hanging="360"/>
        <w:rPr>
          <w:b w:val="1"/>
          <w:bCs w:val="1"/>
        </w:rPr>
      </w:pPr>
      <w:r w:rsidDel="00000000" w:rsidR="00000000" w:rsidRPr="00000000">
        <w:rPr>
          <w:b w:val="1"/>
          <w:bCs w:val="1"/>
          <w:color w:val="1f1f1f"/>
          <w:rtl w:val="0"/>
        </w:rPr>
        <w:t xml:space="preserve">Transparency Mandate:</w:t>
      </w:r>
      <w:r w:rsidDel="00000000" w:rsidR="00000000" w:rsidRPr="00000000">
        <w:rPr>
          <w:color w:val="1f1f1f"/>
          <w:rtl w:val="0"/>
        </w:rPr>
        <w:t xml:space="preserve"> Draft a 3-sentence Transparency Statement that will be added to your student portal, explaining </w:t>
      </w:r>
      <w:r w:rsidDel="00000000" w:rsidR="00000000" w:rsidRPr="00000000">
        <w:rPr>
          <w:i w:val="1"/>
          <w:iCs w:val="1"/>
          <w:color w:val="1f1f1f"/>
          <w:rtl w:val="0"/>
        </w:rPr>
        <w:t xml:space="preserve">why</w:t>
      </w:r>
      <w:r w:rsidDel="00000000" w:rsidR="00000000" w:rsidRPr="00000000">
        <w:rPr>
          <w:color w:val="1f1f1f"/>
          <w:rtl w:val="0"/>
        </w:rPr>
        <w:t xml:space="preserve"> their feedback is being linked to their demographic and academic records and </w:t>
      </w:r>
      <w:r w:rsidDel="00000000" w:rsidR="00000000" w:rsidRPr="00000000">
        <w:rPr>
          <w:i w:val="1"/>
          <w:iCs w:val="1"/>
          <w:color w:val="1f1f1f"/>
          <w:rtl w:val="0"/>
        </w:rPr>
        <w:t xml:space="preserve">who</w:t>
      </w:r>
      <w:r w:rsidDel="00000000" w:rsidR="00000000" w:rsidRPr="00000000">
        <w:rPr>
          <w:color w:val="1f1f1f"/>
          <w:rtl w:val="0"/>
        </w:rPr>
        <w:t xml:space="preserve"> has access to it.</w:t>
      </w:r>
    </w:p>
    <w:p w:rsidR="00000000" w:rsidDel="00000000" w:rsidP="00000000" w:rsidRDefault="00000000" w:rsidRPr="00000000" w14:paraId="00000012">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tkmxyqtlrhay" w:id="4"/>
      <w:bookmarkEnd w:id="4"/>
      <w:r w:rsidDel="00000000" w:rsidR="00000000" w:rsidRPr="00000000">
        <w:rPr>
          <w:b w:val="1"/>
          <w:bCs w:val="1"/>
          <w:color w:val="1f1f1f"/>
          <w:sz w:val="26"/>
          <w:szCs w:val="26"/>
          <w:rtl w:val="0"/>
        </w:rPr>
        <w:t xml:space="preserve">Part 3: Technical Blueprint &amp; Pilot Implementation</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120" w:lineRule="auto"/>
        <w:rPr>
          <w:b w:val="1"/>
          <w:bCs w:val="1"/>
          <w:color w:val="1f1f1f"/>
        </w:rPr>
      </w:pPr>
      <w:r w:rsidDel="00000000" w:rsidR="00000000" w:rsidRPr="00000000">
        <w:rPr>
          <w:b w:val="1"/>
          <w:bCs w:val="1"/>
          <w:color w:val="1f1f1f"/>
          <w:rtl w:val="0"/>
        </w:rPr>
        <w:t xml:space="preserve">Evaluate and integrate diverse student feedback mechanisms (L.O. 2).</w:t>
      </w:r>
    </w:p>
    <w:p w:rsidR="00000000" w:rsidDel="00000000" w:rsidP="00000000" w:rsidRDefault="00000000" w:rsidRPr="00000000" w14:paraId="00000014">
      <w:pPr>
        <w:numPr>
          <w:ilvl w:val="0"/>
          <w:numId w:val="1"/>
        </w:numPr>
        <w:pBdr>
          <w:top w:color="auto" w:space="0" w:sz="0" w:val="none"/>
          <w:bottom w:color="auto" w:space="0" w:sz="0" w:val="none"/>
          <w:right w:color="auto" w:space="0" w:sz="0" w:val="none"/>
          <w:between w:color="auto" w:space="0" w:sz="0" w:val="none"/>
        </w:pBdr>
        <w:spacing w:after="0" w:afterAutospacing="0" w:lineRule="auto"/>
        <w:ind w:left="780" w:hanging="360"/>
        <w:rPr>
          <w:b w:val="1"/>
          <w:bCs w:val="1"/>
        </w:rPr>
      </w:pPr>
      <w:r w:rsidDel="00000000" w:rsidR="00000000" w:rsidRPr="00000000">
        <w:rPr>
          <w:b w:val="1"/>
          <w:bCs w:val="1"/>
          <w:color w:val="1f1f1f"/>
          <w:rtl w:val="0"/>
        </w:rPr>
        <w:t xml:space="preserve">The Technical Link:</w:t>
      </w:r>
      <w:r w:rsidDel="00000000" w:rsidR="00000000" w:rsidRPr="00000000">
        <w:rPr>
          <w:color w:val="1f1f1f"/>
          <w:rtl w:val="0"/>
        </w:rPr>
        <w:t xml:space="preserve"> Which specific API Connector or Technical Standard (e.g., Moodle REST API, JSON schema, or DHET HEMIS XML) will be used to move data from the source (LMS) to your central repository?</w:t>
      </w:r>
    </w:p>
    <w:p w:rsidR="00000000" w:rsidDel="00000000" w:rsidP="00000000" w:rsidRDefault="00000000" w:rsidRPr="00000000" w14:paraId="00000015">
      <w:pPr>
        <w:numPr>
          <w:ilvl w:val="0"/>
          <w:numId w:val="1"/>
        </w:numPr>
        <w:pBdr>
          <w:top w:color="auto" w:space="0" w:sz="0" w:val="none"/>
          <w:bottom w:color="auto" w:space="0" w:sz="0" w:val="none"/>
          <w:right w:color="auto" w:space="0" w:sz="0" w:val="none"/>
          <w:between w:color="auto" w:space="0" w:sz="0" w:val="none"/>
        </w:pBdr>
        <w:spacing w:after="0" w:afterAutospacing="0" w:lineRule="auto"/>
        <w:ind w:left="780" w:hanging="360"/>
        <w:rPr>
          <w:b w:val="1"/>
          <w:bCs w:val="1"/>
        </w:rPr>
      </w:pPr>
      <w:r w:rsidDel="00000000" w:rsidR="00000000" w:rsidRPr="00000000">
        <w:rPr>
          <w:b w:val="1"/>
          <w:bCs w:val="1"/>
          <w:color w:val="1f1f1f"/>
          <w:rtl w:val="0"/>
        </w:rPr>
        <w:t xml:space="preserve">The Pilot Phase: </w:t>
      </w:r>
      <w:r w:rsidDel="00000000" w:rsidR="00000000" w:rsidRPr="00000000">
        <w:rPr>
          <w:color w:val="1f1f1f"/>
          <w:rtl w:val="0"/>
        </w:rPr>
        <w:t xml:space="preserve">Propose a 6-month timeline for a Pilot Phase in a single faculty (e.g., Faculty of Education). Identify:</w:t>
      </w:r>
    </w:p>
    <w:p w:rsidR="00000000" w:rsidDel="00000000" w:rsidP="00000000" w:rsidRDefault="00000000" w:rsidRPr="00000000" w14:paraId="00000016">
      <w:pPr>
        <w:numPr>
          <w:ilvl w:val="1"/>
          <w:numId w:val="1"/>
        </w:numPr>
        <w:pBdr>
          <w:top w:color="auto" w:space="0" w:sz="0" w:val="none"/>
          <w:bottom w:color="auto" w:space="0" w:sz="0" w:val="none"/>
          <w:right w:color="auto" w:space="0" w:sz="0" w:val="none"/>
          <w:between w:color="auto" w:space="0" w:sz="0" w:val="none"/>
        </w:pBdr>
        <w:spacing w:after="0" w:afterAutospacing="0" w:lineRule="auto"/>
        <w:ind w:left="1500" w:hanging="360"/>
        <w:rPr/>
      </w:pPr>
      <w:r w:rsidDel="00000000" w:rsidR="00000000" w:rsidRPr="00000000">
        <w:rPr>
          <w:color w:val="1f1f1f"/>
          <w:rtl w:val="0"/>
        </w:rPr>
        <w:t xml:space="preserve">One Technical Milestone (e.g., "Successful automated nightly sync of Moodle logs to QAIS").</w:t>
      </w:r>
    </w:p>
    <w:p w:rsidR="00000000" w:rsidDel="00000000" w:rsidP="00000000" w:rsidRDefault="00000000" w:rsidRPr="00000000" w14:paraId="00000017">
      <w:pPr>
        <w:numPr>
          <w:ilvl w:val="1"/>
          <w:numId w:val="1"/>
        </w:numPr>
        <w:pBdr>
          <w:top w:color="auto" w:space="0" w:sz="0" w:val="none"/>
          <w:bottom w:color="auto" w:space="0" w:sz="0" w:val="none"/>
          <w:right w:color="auto" w:space="0" w:sz="0" w:val="none"/>
          <w:between w:color="auto" w:space="0" w:sz="0" w:val="none"/>
        </w:pBdr>
        <w:spacing w:after="0" w:afterAutospacing="0" w:lineRule="auto"/>
        <w:ind w:left="1500" w:hanging="360"/>
        <w:rPr/>
      </w:pPr>
      <w:r w:rsidDel="00000000" w:rsidR="00000000" w:rsidRPr="00000000">
        <w:rPr>
          <w:color w:val="1f1f1f"/>
          <w:rtl w:val="0"/>
        </w:rPr>
        <w:t xml:space="preserve">One Capacity Building Step (e.g., "Training 20 QA officers in Power BI dashboard interpretation").</w:t>
      </w:r>
    </w:p>
    <w:p w:rsidR="00000000" w:rsidDel="00000000" w:rsidP="00000000" w:rsidRDefault="00000000" w:rsidRPr="00000000" w14:paraId="00000018">
      <w:pPr>
        <w:numPr>
          <w:ilvl w:val="0"/>
          <w:numId w:val="1"/>
        </w:numPr>
        <w:pBdr>
          <w:top w:color="auto" w:space="0" w:sz="0" w:val="none"/>
          <w:bottom w:color="auto" w:space="0" w:sz="0" w:val="none"/>
          <w:right w:color="auto" w:space="0" w:sz="0" w:val="none"/>
          <w:between w:color="auto" w:space="0" w:sz="0" w:val="none"/>
        </w:pBdr>
        <w:spacing w:after="360" w:lineRule="auto"/>
        <w:ind w:left="780" w:hanging="360"/>
        <w:rPr>
          <w:b w:val="1"/>
          <w:bCs w:val="1"/>
        </w:rPr>
      </w:pPr>
      <w:r w:rsidDel="00000000" w:rsidR="00000000" w:rsidRPr="00000000">
        <w:rPr>
          <w:b w:val="1"/>
          <w:bCs w:val="1"/>
          <w:color w:val="1f1f1f"/>
          <w:rtl w:val="0"/>
        </w:rPr>
        <w:t xml:space="preserve">Risk Assessment: </w:t>
      </w:r>
      <w:r w:rsidDel="00000000" w:rsidR="00000000" w:rsidRPr="00000000">
        <w:rPr>
          <w:color w:val="1f1f1f"/>
          <w:rtl w:val="0"/>
        </w:rPr>
        <w:t xml:space="preserve">Identify the single greatest "Institutional Friction Point" (e.g., staff resistance, technical debt, or lack of unique identifiers) that could derail this plan, and propose one policy-based solution to mitigate it.</w:t>
      </w:r>
      <w:r w:rsidDel="00000000" w:rsidR="00000000" w:rsidRPr="00000000">
        <w:rPr>
          <w:rtl w:val="0"/>
        </w:rPr>
      </w:r>
    </w:p>
    <w:p w:rsidR="00000000" w:rsidDel="00000000" w:rsidP="00000000" w:rsidRDefault="00000000" w:rsidRPr="00000000" w14:paraId="0000001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rPr>
          <w:b w:val="1"/>
          <w:bCs w:val="1"/>
          <w:color w:val="1f1f1f"/>
          <w:sz w:val="26"/>
          <w:szCs w:val="26"/>
        </w:rPr>
      </w:pPr>
      <w:bookmarkStart w:colFirst="0" w:colLast="0" w:name="_tyy1xdh3m2gg" w:id="5"/>
      <w:bookmarkEnd w:id="5"/>
      <w:r w:rsidDel="00000000" w:rsidR="00000000" w:rsidRPr="00000000">
        <w:rPr>
          <w:b w:val="1"/>
          <w:bCs w:val="1"/>
          <w:color w:val="1f1f1f"/>
          <w:sz w:val="26"/>
          <w:szCs w:val="26"/>
          <w:rtl w:val="0"/>
        </w:rPr>
        <w:t xml:space="preserve">Assessment Submission Guidelines</w:t>
      </w:r>
    </w:p>
    <w:p w:rsidR="00000000" w:rsidDel="00000000" w:rsidP="00000000" w:rsidRDefault="00000000" w:rsidRPr="00000000" w14:paraId="0000001A">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rPr>
          <w:b w:val="1"/>
          <w:bCs w:val="1"/>
        </w:rPr>
      </w:pPr>
      <w:r w:rsidDel="00000000" w:rsidR="00000000" w:rsidRPr="00000000">
        <w:rPr>
          <w:b w:val="1"/>
          <w:bCs w:val="1"/>
          <w:color w:val="1f1f1f"/>
          <w:rtl w:val="0"/>
        </w:rPr>
        <w:t xml:space="preserve">Format: </w:t>
      </w:r>
      <w:r w:rsidDel="00000000" w:rsidR="00000000" w:rsidRPr="00000000">
        <w:rPr>
          <w:color w:val="1f1f1f"/>
          <w:rtl w:val="0"/>
        </w:rPr>
        <w:t xml:space="preserve">A structured Action Plan document (2–3 pages).</w:t>
      </w:r>
    </w:p>
    <w:p w:rsidR="00000000" w:rsidDel="00000000" w:rsidP="00000000" w:rsidRDefault="00000000" w:rsidRPr="00000000" w14:paraId="0000001B">
      <w:pPr>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rPr>
          <w:b w:val="1"/>
          <w:bCs w:val="1"/>
        </w:rPr>
      </w:pPr>
      <w:r w:rsidDel="00000000" w:rsidR="00000000" w:rsidRPr="00000000">
        <w:rPr>
          <w:b w:val="1"/>
          <w:bCs w:val="1"/>
          <w:color w:val="1f1f1f"/>
          <w:rtl w:val="0"/>
        </w:rPr>
        <w:t xml:space="preserve">Expectation: </w:t>
      </w:r>
      <w:r w:rsidDel="00000000" w:rsidR="00000000" w:rsidRPr="00000000">
        <w:rPr>
          <w:color w:val="1f1f1f"/>
          <w:rtl w:val="0"/>
        </w:rPr>
        <w:t xml:space="preserve">You need to demonstrate that your plan moves beyond "buying software" to addressing the governance, culture, and ethics required for sustained institutional change.</w:t>
      </w:r>
    </w:p>
    <w:p w:rsidR="00000000" w:rsidDel="00000000" w:rsidP="00000000" w:rsidRDefault="00000000" w:rsidRPr="00000000" w14:paraId="0000001C">
      <w:pPr>
        <w:numPr>
          <w:ilvl w:val="0"/>
          <w:numId w:val="2"/>
        </w:numPr>
        <w:pBdr>
          <w:top w:color="auto" w:space="0" w:sz="0" w:val="none"/>
          <w:bottom w:color="auto" w:space="0" w:sz="0" w:val="none"/>
          <w:right w:color="auto" w:space="0" w:sz="0" w:val="none"/>
          <w:between w:color="auto" w:space="0" w:sz="0" w:val="none"/>
        </w:pBdr>
        <w:spacing w:after="360" w:lineRule="auto"/>
        <w:ind w:left="780" w:hanging="360"/>
        <w:rPr>
          <w:b w:val="1"/>
          <w:bCs w:val="1"/>
        </w:rPr>
      </w:pPr>
      <w:r w:rsidDel="00000000" w:rsidR="00000000" w:rsidRPr="00000000">
        <w:rPr>
          <w:b w:val="1"/>
          <w:bCs w:val="1"/>
          <w:color w:val="1f1f1f"/>
          <w:rtl w:val="0"/>
        </w:rPr>
        <w:t xml:space="preserve">Outcome: </w:t>
      </w:r>
      <w:r w:rsidDel="00000000" w:rsidR="00000000" w:rsidRPr="00000000">
        <w:rPr>
          <w:color w:val="1f1f1f"/>
          <w:rtl w:val="0"/>
        </w:rPr>
        <w:t xml:space="preserve">A 360-degree evidence base that creates "Silos to Synergy" within your institution</w:t>
      </w:r>
    </w:p>
    <w:p w:rsidR="00000000" w:rsidDel="00000000" w:rsidP="00000000" w:rsidRDefault="00000000" w:rsidRPr="00000000" w14:paraId="0000001D">
      <w:pPr>
        <w:rPr>
          <w:b w:val="1"/>
          <w:bCs w:val="1"/>
          <w:color w:val="1f1f1f"/>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color w:val="1f1f1f"/>
        <w:u w:val="none"/>
      </w:rPr>
    </w:lvl>
    <w:lvl w:ilvl="1">
      <w:start w:val="1"/>
      <w:numFmt w:val="bullet"/>
      <w:lvlText w:val="○"/>
      <w:lvlJc w:val="left"/>
      <w:pPr>
        <w:ind w:left="1440" w:hanging="360"/>
      </w:pPr>
      <w:rPr>
        <w:rFonts w:ascii="Arial" w:cs="Arial" w:eastAsia="Arial" w:hAnsi="Arial"/>
        <w:color w:val="1f1f1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color w:val="1f1f1f"/>
        <w:u w:val="none"/>
      </w:rPr>
    </w:lvl>
    <w:lvl w:ilvl="1">
      <w:start w:val="1"/>
      <w:numFmt w:val="bullet"/>
      <w:lvlText w:val="○"/>
      <w:lvlJc w:val="left"/>
      <w:pPr>
        <w:ind w:left="1440" w:hanging="360"/>
      </w:pPr>
      <w:rPr>
        <w:rFonts w:ascii="Arial" w:cs="Arial" w:eastAsia="Arial" w:hAnsi="Arial"/>
        <w:color w:val="1f1f1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color w:val="1f1f1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